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CE63" w14:textId="6538E5BF" w:rsidR="00A35538" w:rsidRPr="008E3BC4" w:rsidRDefault="00464CD4">
      <w:pPr>
        <w:rPr>
          <w:b/>
          <w:sz w:val="28"/>
          <w:szCs w:val="28"/>
        </w:rPr>
      </w:pPr>
      <w:bookmarkStart w:id="0" w:name="_GoBack"/>
      <w:bookmarkEnd w:id="0"/>
      <w:r w:rsidRPr="008E3BC4">
        <w:rPr>
          <w:b/>
          <w:sz w:val="28"/>
          <w:szCs w:val="28"/>
        </w:rPr>
        <w:t xml:space="preserve">Antibiotic duration in uncomplicated cystitis and outpatient pyelonephritis </w:t>
      </w:r>
    </w:p>
    <w:p w14:paraId="6DD8801B" w14:textId="52D2C799" w:rsidR="00296417" w:rsidRDefault="008E3BC4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656337F" wp14:editId="61EB5067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019300" cy="1810407"/>
            <wp:effectExtent l="0" t="0" r="0" b="0"/>
            <wp:wrapTight wrapText="bothSides">
              <wp:wrapPolygon edited="0">
                <wp:start x="0" y="0"/>
                <wp:lineTo x="0" y="21365"/>
                <wp:lineTo x="21396" y="213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CD4">
        <w:t>There is growing evidence supporting shorter durations of antibiotic therapy in uncomplicated cys</w:t>
      </w:r>
      <w:r w:rsidR="00E45C36">
        <w:t xml:space="preserve">titis and pyelonephritis </w:t>
      </w:r>
      <w:r w:rsidR="00AE0B34">
        <w:t>to minimize</w:t>
      </w:r>
      <w:r w:rsidR="00464CD4">
        <w:t>, antibiotic resistance, adverse events</w:t>
      </w:r>
      <w:r w:rsidR="00AE0B34">
        <w:t xml:space="preserve"> and</w:t>
      </w:r>
      <w:r w:rsidR="00AE0B34" w:rsidRPr="00AE0B34">
        <w:t xml:space="preserve"> </w:t>
      </w:r>
      <w:r w:rsidR="00AE0B34">
        <w:t>infection reoccurrence</w:t>
      </w:r>
      <w:r w:rsidR="00464CD4">
        <w:t xml:space="preserve">.  </w:t>
      </w:r>
    </w:p>
    <w:p w14:paraId="25B78B57" w14:textId="47331F9C" w:rsidR="00E45C36" w:rsidRDefault="00296417" w:rsidP="00E45C36">
      <w:r>
        <w:t xml:space="preserve">Data from the early 2000’s were incorporated in the 2011 </w:t>
      </w:r>
      <w:r w:rsidR="00464CD4">
        <w:t xml:space="preserve">Infectious Disease Society of America (IDSA) guidelines </w:t>
      </w:r>
      <w:r>
        <w:t>that highlighted &gt;90% cure rates with nitrofurantoin x 5 days, fluoroquinolones x 3 days, and beta-lactams x 3-5 days in females with uncomplicated cystitis.</w:t>
      </w:r>
      <w:r w:rsidR="00FA787B">
        <w:t xml:space="preserve"> In pyelonephritis, these guidelines also identified fluoroquinolones x 5-7 days being effective compared traditional 14 day antibiotic courses that were associated with greater rates of resistance, </w:t>
      </w:r>
      <w:proofErr w:type="spellStart"/>
      <w:r w:rsidR="00AE0B34">
        <w:rPr>
          <w:i/>
        </w:rPr>
        <w:t>Clostridioides</w:t>
      </w:r>
      <w:proofErr w:type="spellEnd"/>
      <w:r w:rsidR="00AE0B34">
        <w:rPr>
          <w:i/>
        </w:rPr>
        <w:t xml:space="preserve"> difficile</w:t>
      </w:r>
      <w:r w:rsidR="00721C6D">
        <w:t xml:space="preserve"> (</w:t>
      </w:r>
      <w:r w:rsidR="00721C6D" w:rsidRPr="000D524A">
        <w:rPr>
          <w:i/>
        </w:rPr>
        <w:t>C diff</w:t>
      </w:r>
      <w:r w:rsidR="00721C6D">
        <w:t>)</w:t>
      </w:r>
      <w:r w:rsidR="00CA476A">
        <w:t xml:space="preserve"> infections</w:t>
      </w:r>
      <w:r w:rsidR="00FA787B">
        <w:t>,</w:t>
      </w:r>
      <w:r w:rsidR="00CA476A">
        <w:t xml:space="preserve"> and increased </w:t>
      </w:r>
      <w:r w:rsidR="003E1028">
        <w:t>risk for serious adverse events</w:t>
      </w:r>
      <w:r w:rsidR="00CA476A">
        <w:t>.</w:t>
      </w:r>
      <w:r w:rsidRPr="00296417">
        <w:rPr>
          <w:vertAlign w:val="superscript"/>
        </w:rPr>
        <w:t>1</w:t>
      </w:r>
      <w:r w:rsidR="00CA476A">
        <w:t xml:space="preserve"> </w:t>
      </w:r>
      <w:r w:rsidR="00295634">
        <w:t xml:space="preserve"> Newer</w:t>
      </w:r>
      <w:r w:rsidR="00E45C36">
        <w:t xml:space="preserve"> data has since confirmed these recommendations in pyelonephritis and provided further insight into a</w:t>
      </w:r>
      <w:r w:rsidR="00295634">
        <w:t xml:space="preserve">ppropriate antibiotic </w:t>
      </w:r>
      <w:r w:rsidR="00E45C36">
        <w:t>duration</w:t>
      </w:r>
      <w:r w:rsidR="00295634">
        <w:t>s</w:t>
      </w:r>
      <w:r w:rsidR="00E45C36">
        <w:t xml:space="preserve"> in unique situations </w:t>
      </w:r>
      <w:r w:rsidR="00A35C61">
        <w:t>not</w:t>
      </w:r>
      <w:r w:rsidR="003E1028">
        <w:t xml:space="preserve"> previously addressed</w:t>
      </w:r>
      <w:r w:rsidR="006318C9">
        <w:t>,</w:t>
      </w:r>
      <w:r w:rsidR="00A35C61">
        <w:t xml:space="preserve"> including women with diabetes and men with uncomplicated cystitis.  </w:t>
      </w:r>
    </w:p>
    <w:p w14:paraId="0D694214" w14:textId="51296BF4" w:rsidR="005516C3" w:rsidRDefault="008A22A1" w:rsidP="00E45C36">
      <w:r>
        <w:t>Regarding pyelonephritis, two major studies</w:t>
      </w:r>
      <w:r w:rsidR="008F2B15">
        <w:t xml:space="preserve">, </w:t>
      </w:r>
      <w:r>
        <w:t>published since the 2011 guidelines</w:t>
      </w:r>
      <w:r w:rsidR="008F2B15">
        <w:t>, have identified</w:t>
      </w:r>
      <w:r>
        <w:t xml:space="preserve"> shorter durations (5-7 days) of fluoroquinolones </w:t>
      </w:r>
      <w:r w:rsidR="008F2B15">
        <w:t>as</w:t>
      </w:r>
      <w:r>
        <w:t xml:space="preserve"> non-inferior to longer durations (10-14 days)</w:t>
      </w:r>
      <w:r w:rsidR="00C20F5B">
        <w:t xml:space="preserve"> in </w:t>
      </w:r>
      <w:r w:rsidR="00521AB1">
        <w:t xml:space="preserve">non-elderly </w:t>
      </w:r>
      <w:r w:rsidR="00C20F5B">
        <w:t>women</w:t>
      </w:r>
      <w:r w:rsidR="006A346D">
        <w:t>.</w:t>
      </w:r>
      <w:r>
        <w:t xml:space="preserve">  </w:t>
      </w:r>
      <w:r w:rsidR="001A30DD">
        <w:t>One prospective, multi-site</w:t>
      </w:r>
      <w:r w:rsidR="009B1778">
        <w:t xml:space="preserve"> randomized, double blind, </w:t>
      </w:r>
      <w:r w:rsidR="00F55862">
        <w:t>non-inferiority trial</w:t>
      </w:r>
      <w:r w:rsidR="009B1778">
        <w:t xml:space="preserve"> compared oral ciprofloxacin 500 mg twice daily for 7 versus 14 days in </w:t>
      </w:r>
      <w:r w:rsidR="008F2B15">
        <w:t>women</w:t>
      </w:r>
      <w:r w:rsidR="000D524A">
        <w:t xml:space="preserve"> </w:t>
      </w:r>
      <w:r w:rsidR="009B1778">
        <w:t>with community acquired</w:t>
      </w:r>
      <w:r w:rsidR="000D524A">
        <w:t>,</w:t>
      </w:r>
      <w:r w:rsidR="009B1778">
        <w:t xml:space="preserve"> acute pyelonephritis. </w:t>
      </w:r>
      <w:r>
        <w:t xml:space="preserve"> </w:t>
      </w:r>
      <w:proofErr w:type="gramStart"/>
      <w:r w:rsidR="00855F4C">
        <w:t>The majority of</w:t>
      </w:r>
      <w:proofErr w:type="gramEnd"/>
      <w:r w:rsidR="00855F4C">
        <w:t xml:space="preserve"> urinary isolates revealed </w:t>
      </w:r>
      <w:r w:rsidR="00855F4C" w:rsidRPr="00F55862">
        <w:rPr>
          <w:i/>
        </w:rPr>
        <w:t>E</w:t>
      </w:r>
      <w:r w:rsidR="000D524A">
        <w:rPr>
          <w:i/>
        </w:rPr>
        <w:t>scherichia</w:t>
      </w:r>
      <w:r w:rsidR="00855F4C" w:rsidRPr="00F55862">
        <w:rPr>
          <w:i/>
        </w:rPr>
        <w:t xml:space="preserve"> coli</w:t>
      </w:r>
      <w:r w:rsidR="000D524A">
        <w:rPr>
          <w:i/>
        </w:rPr>
        <w:t xml:space="preserve"> (E</w:t>
      </w:r>
      <w:r w:rsidR="008F2B15">
        <w:rPr>
          <w:i/>
        </w:rPr>
        <w:t>.</w:t>
      </w:r>
      <w:r w:rsidR="000D524A">
        <w:rPr>
          <w:i/>
        </w:rPr>
        <w:t xml:space="preserve"> coli)</w:t>
      </w:r>
      <w:r w:rsidR="00855F4C">
        <w:t xml:space="preserve"> </w:t>
      </w:r>
      <w:r w:rsidR="00822F07">
        <w:t xml:space="preserve">and </w:t>
      </w:r>
      <w:r w:rsidR="00855F4C">
        <w:t xml:space="preserve">27% of participants </w:t>
      </w:r>
      <w:r w:rsidR="00822F07">
        <w:t>with</w:t>
      </w:r>
      <w:r w:rsidR="00855F4C">
        <w:t xml:space="preserve"> positive blood cultures</w:t>
      </w:r>
      <w:r w:rsidR="00F55862">
        <w:t xml:space="preserve"> and 17% initially receiving intravenous doses of ciprofloxacin</w:t>
      </w:r>
      <w:r w:rsidR="00855F4C">
        <w:t xml:space="preserve">.  </w:t>
      </w:r>
      <w:r>
        <w:t>Results from this study f</w:t>
      </w:r>
      <w:r w:rsidR="009B1778">
        <w:t>ound clinical cure in 97% of patients treated for 7 days</w:t>
      </w:r>
      <w:r w:rsidR="009F29F2">
        <w:t xml:space="preserve"> versus 96% treated for 14 days</w:t>
      </w:r>
      <w:r w:rsidR="000D524A">
        <w:t xml:space="preserve"> </w:t>
      </w:r>
      <w:r w:rsidR="009B1778">
        <w:t>(</w:t>
      </w:r>
      <w:r w:rsidR="000D524A">
        <w:t>-</w:t>
      </w:r>
      <w:r w:rsidR="00E13114">
        <w:t>0.9% difference, 90% CI -6.5 t</w:t>
      </w:r>
      <w:r>
        <w:t xml:space="preserve">o 4.8, p=0.004) </w:t>
      </w:r>
      <w:r w:rsidR="005516C3">
        <w:t>and</w:t>
      </w:r>
      <w:r>
        <w:t xml:space="preserve"> l</w:t>
      </w:r>
      <w:r w:rsidR="00E13114">
        <w:t xml:space="preserve">ong term </w:t>
      </w:r>
      <w:r>
        <w:t xml:space="preserve">cure rates </w:t>
      </w:r>
      <w:r w:rsidR="008F2B15">
        <w:t xml:space="preserve">were </w:t>
      </w:r>
      <w:r w:rsidR="005516C3">
        <w:t>equal</w:t>
      </w:r>
      <w:r>
        <w:t xml:space="preserve"> for both study groups</w:t>
      </w:r>
      <w:r w:rsidR="00E13114">
        <w:t xml:space="preserve"> (-0.3% difference, 90% CI -7.4 to 7.2, p= 0.015).</w:t>
      </w:r>
      <w:r w:rsidR="005516C3" w:rsidRPr="003E1028">
        <w:rPr>
          <w:vertAlign w:val="superscript"/>
        </w:rPr>
        <w:t>2</w:t>
      </w:r>
      <w:r w:rsidR="005516C3">
        <w:t xml:space="preserve"> The</w:t>
      </w:r>
      <w:r w:rsidR="000D524A">
        <w:t xml:space="preserve"> other study tested non-inferiority of fluoroquinolone</w:t>
      </w:r>
      <w:r w:rsidR="005516C3">
        <w:t>s</w:t>
      </w:r>
      <w:r w:rsidR="009F29F2">
        <w:t xml:space="preserve"> in acute, </w:t>
      </w:r>
      <w:r w:rsidR="00312568">
        <w:t>community acquired</w:t>
      </w:r>
      <w:r w:rsidR="009F29F2">
        <w:t xml:space="preserve"> pyelonephritis with</w:t>
      </w:r>
      <w:r w:rsidR="000D524A">
        <w:t xml:space="preserve"> 5 day</w:t>
      </w:r>
      <w:r w:rsidR="009F29F2">
        <w:t>s</w:t>
      </w:r>
      <w:r w:rsidR="000D524A">
        <w:t xml:space="preserve"> ve</w:t>
      </w:r>
      <w:r w:rsidR="005516C3">
        <w:t xml:space="preserve">rsus 10 days </w:t>
      </w:r>
      <w:r w:rsidR="00312568">
        <w:t xml:space="preserve">of oral levofloxacin </w:t>
      </w:r>
      <w:r w:rsidR="005516C3">
        <w:t xml:space="preserve">500 mg daily </w:t>
      </w:r>
      <w:r w:rsidR="00312568">
        <w:t>or ofloxacin</w:t>
      </w:r>
      <w:r w:rsidR="005516C3">
        <w:t xml:space="preserve"> 200 mg twice daily</w:t>
      </w:r>
      <w:r w:rsidR="009F29F2">
        <w:t xml:space="preserve">. </w:t>
      </w:r>
      <w:r w:rsidR="000D524A">
        <w:t xml:space="preserve"> </w:t>
      </w:r>
      <w:r w:rsidR="009F29F2">
        <w:t>This study was prospective,</w:t>
      </w:r>
      <w:r w:rsidR="005516C3">
        <w:t xml:space="preserve"> multi-si</w:t>
      </w:r>
      <w:r w:rsidR="00312568">
        <w:t>t</w:t>
      </w:r>
      <w:r w:rsidR="005516C3">
        <w:t>e</w:t>
      </w:r>
      <w:r w:rsidR="00312568">
        <w:t>,</w:t>
      </w:r>
      <w:r w:rsidR="009F29F2">
        <w:t xml:space="preserve"> randomized</w:t>
      </w:r>
      <w:r w:rsidR="0018038B">
        <w:t xml:space="preserve">, </w:t>
      </w:r>
      <w:r w:rsidR="005516C3">
        <w:t>open-label and</w:t>
      </w:r>
      <w:r w:rsidR="00312568">
        <w:t xml:space="preserve"> included </w:t>
      </w:r>
      <w:r w:rsidR="005516C3">
        <w:t>68</w:t>
      </w:r>
      <w:r w:rsidR="0018038B">
        <w:t xml:space="preserve"> female patients with confirmed pyelonephritis, 97.7% </w:t>
      </w:r>
      <w:r w:rsidR="007537C9">
        <w:t>with</w:t>
      </w:r>
      <w:r w:rsidR="00312568">
        <w:t xml:space="preserve"> urinary isolates</w:t>
      </w:r>
      <w:r w:rsidR="007537C9">
        <w:t xml:space="preserve"> of</w:t>
      </w:r>
      <w:r w:rsidR="00312568">
        <w:t xml:space="preserve"> </w:t>
      </w:r>
      <w:r w:rsidR="0018038B" w:rsidRPr="0018038B">
        <w:rPr>
          <w:i/>
        </w:rPr>
        <w:t>E coli</w:t>
      </w:r>
      <w:r w:rsidR="00312568">
        <w:t xml:space="preserve"> and</w:t>
      </w:r>
      <w:r w:rsidR="0018038B">
        <w:t xml:space="preserve"> 3.4% with positive blood cultures</w:t>
      </w:r>
      <w:r w:rsidR="00312568">
        <w:t>.</w:t>
      </w:r>
      <w:r w:rsidR="005516C3">
        <w:t xml:space="preserve">  This study found similar cure rates at day 10 and day 30 between both groups (93</w:t>
      </w:r>
      <w:r w:rsidR="00C20F5B">
        <w:t>% versus 97.7% at day 10, p=1.00</w:t>
      </w:r>
      <w:r w:rsidR="00331ACB">
        <w:t>;</w:t>
      </w:r>
      <w:r w:rsidR="00C20F5B">
        <w:t xml:space="preserve"> and 100% for both groups at day 30, p=1.00).</w:t>
      </w:r>
      <w:r w:rsidR="00745371">
        <w:rPr>
          <w:vertAlign w:val="superscript"/>
        </w:rPr>
        <w:t>3</w:t>
      </w:r>
      <w:r w:rsidR="000D15E5">
        <w:t xml:space="preserve"> </w:t>
      </w:r>
      <w:r w:rsidR="006A346D">
        <w:t xml:space="preserve">  Results from these two trials are consistent with past literature</w:t>
      </w:r>
      <w:r w:rsidR="00331ACB">
        <w:t xml:space="preserve">, including </w:t>
      </w:r>
      <w:r w:rsidR="006A346D">
        <w:t>key trials</w:t>
      </w:r>
      <w:r w:rsidR="006D361A">
        <w:t>,</w:t>
      </w:r>
      <w:r w:rsidR="006A346D">
        <w:t xml:space="preserve"> that </w:t>
      </w:r>
      <w:r w:rsidR="00331ACB">
        <w:t>also enrolled</w:t>
      </w:r>
      <w:r w:rsidR="006A346D">
        <w:t xml:space="preserve"> male </w:t>
      </w:r>
      <w:r w:rsidR="00331ACB">
        <w:t>participants</w:t>
      </w:r>
      <w:r w:rsidR="006D361A">
        <w:t>, finding</w:t>
      </w:r>
      <w:r w:rsidR="0093041F">
        <w:t xml:space="preserve"> shorter antibiotic courses</w:t>
      </w:r>
      <w:r w:rsidR="006A346D">
        <w:t xml:space="preserve"> non-inferior</w:t>
      </w:r>
      <w:r w:rsidR="0093041F">
        <w:t xml:space="preserve"> </w:t>
      </w:r>
      <w:r w:rsidR="006A346D">
        <w:t>to long</w:t>
      </w:r>
      <w:r w:rsidR="00745371">
        <w:t>er courses in complicated urinary tract infections and pyelonephritis.</w:t>
      </w:r>
      <w:r w:rsidR="00745371" w:rsidRPr="00745371">
        <w:rPr>
          <w:vertAlign w:val="superscript"/>
        </w:rPr>
        <w:t>4</w:t>
      </w:r>
      <w:r w:rsidR="006D361A" w:rsidRPr="00745371">
        <w:rPr>
          <w:vertAlign w:val="superscript"/>
        </w:rPr>
        <w:t>, 5</w:t>
      </w:r>
      <w:r w:rsidR="006A346D">
        <w:t xml:space="preserve"> </w:t>
      </w:r>
    </w:p>
    <w:p w14:paraId="1A18B8F5" w14:textId="1E9A94CF" w:rsidR="00F431B6" w:rsidRDefault="0042561B">
      <w:r>
        <w:t xml:space="preserve">Furthermore, unique populations have been studied </w:t>
      </w:r>
      <w:r w:rsidR="006D361A">
        <w:t>and found to benefit from shorter antibiotic durations in uncomplicated cystitis.  One</w:t>
      </w:r>
      <w:r w:rsidR="00721C6D">
        <w:t xml:space="preserve"> large, retrospective study conducted at Baylor Medical School in 2017, identified a trend for longer antibiotic durations in women with cystitis and comorbid diabetes that ironically correlated to an increased risk for early cystitis reoccurrence</w:t>
      </w:r>
      <w:r w:rsidR="003E1028">
        <w:t xml:space="preserve"> when treatment durations were</w:t>
      </w:r>
      <w:r w:rsidR="00721C6D">
        <w:t xml:space="preserve"> </w:t>
      </w:r>
      <w:r w:rsidR="004527B9">
        <w:t>greater</w:t>
      </w:r>
      <w:r w:rsidR="00721C6D">
        <w:t xml:space="preserve"> than 5 days compared to </w:t>
      </w:r>
      <w:r w:rsidR="004527B9">
        <w:t xml:space="preserve">5 days or </w:t>
      </w:r>
      <w:r w:rsidR="008F2B15">
        <w:t xml:space="preserve">less </w:t>
      </w:r>
      <w:r w:rsidR="00331ACB">
        <w:t>(</w:t>
      </w:r>
      <w:r w:rsidR="00721C6D">
        <w:t>OR 2.1</w:t>
      </w:r>
      <w:r w:rsidR="00331ACB">
        <w:t xml:space="preserve">7, </w:t>
      </w:r>
      <w:r w:rsidR="003E1028">
        <w:t>95% CI 1.07-4.41</w:t>
      </w:r>
      <w:r w:rsidR="003174B3">
        <w:t>)</w:t>
      </w:r>
      <w:r w:rsidR="00721C6D">
        <w:t>.</w:t>
      </w:r>
      <w:r w:rsidR="00745371">
        <w:rPr>
          <w:vertAlign w:val="superscript"/>
        </w:rPr>
        <w:t>6</w:t>
      </w:r>
      <w:r w:rsidR="00721C6D">
        <w:t xml:space="preserve">  </w:t>
      </w:r>
      <w:r w:rsidR="003E1028">
        <w:t xml:space="preserve"> Similarly, a recent study found 7 day antibiotic courses sufficient in men with uncomplicated cystitis </w:t>
      </w:r>
      <w:r w:rsidR="00F45B63">
        <w:t>and</w:t>
      </w:r>
      <w:r w:rsidR="003E1028">
        <w:t xml:space="preserve"> found more than double infection reoccurrence rates with longer antibiotic durations (&gt; 7days) in a subgroup of patients with fewer complications (i.e. no anatomical abnormalities, catheterization, or</w:t>
      </w:r>
      <w:r w:rsidR="002919A3">
        <w:t xml:space="preserve"> immunosuppression; </w:t>
      </w:r>
      <w:r w:rsidR="003E1028">
        <w:t>OR 2.62</w:t>
      </w:r>
      <w:r w:rsidR="002919A3">
        <w:t xml:space="preserve">, </w:t>
      </w:r>
      <w:r w:rsidR="003E1028">
        <w:t>95% CI 1.04-6.61</w:t>
      </w:r>
      <w:r w:rsidR="003174B3">
        <w:t>)</w:t>
      </w:r>
      <w:r w:rsidR="003E1028">
        <w:t>.</w:t>
      </w:r>
      <w:r w:rsidR="00745371">
        <w:rPr>
          <w:vertAlign w:val="superscript"/>
        </w:rPr>
        <w:t>7</w:t>
      </w:r>
      <w:r w:rsidR="003E1028">
        <w:t xml:space="preserve">  This observational study has prompted a randomized, controlled trial comparing 7 versus 14 day antibiotic therapy for urinary tract infections in men that is currently </w:t>
      </w:r>
      <w:r w:rsidR="003E1028">
        <w:lastRenderedPageBreak/>
        <w:t>underway</w:t>
      </w:r>
      <w:r w:rsidR="00745371">
        <w:rPr>
          <w:vertAlign w:val="superscript"/>
        </w:rPr>
        <w:t>8</w:t>
      </w:r>
      <w:r w:rsidR="003E1028">
        <w:t xml:space="preserve"> and is consistent with other previous trials finding</w:t>
      </w:r>
      <w:r w:rsidR="003174B3">
        <w:t xml:space="preserve"> </w:t>
      </w:r>
      <w:r w:rsidR="006E616D">
        <w:t xml:space="preserve">antibiotic durations </w:t>
      </w:r>
      <w:r w:rsidR="008F2B15">
        <w:t xml:space="preserve">longer than </w:t>
      </w:r>
      <w:r w:rsidR="006E616D">
        <w:t>7 days</w:t>
      </w:r>
      <w:r w:rsidR="008F2B15">
        <w:t xml:space="preserve"> do</w:t>
      </w:r>
      <w:r w:rsidR="006E616D">
        <w:t xml:space="preserve"> </w:t>
      </w:r>
      <w:r w:rsidR="003174B3">
        <w:t>not provid</w:t>
      </w:r>
      <w:r w:rsidR="008F2B15">
        <w:t xml:space="preserve">e a </w:t>
      </w:r>
      <w:r w:rsidR="003174B3">
        <w:t>protective benefit in</w:t>
      </w:r>
      <w:r w:rsidR="006E616D">
        <w:t xml:space="preserve"> infection reoccurrence rates</w:t>
      </w:r>
      <w:r w:rsidR="001855F5">
        <w:rPr>
          <w:vertAlign w:val="superscript"/>
        </w:rPr>
        <w:t>7</w:t>
      </w:r>
      <w:r w:rsidR="00F431B6">
        <w:t xml:space="preserve"> and fluoroquinolone duration</w:t>
      </w:r>
      <w:r w:rsidR="003174B3">
        <w:t>s of 5 days being as effective as</w:t>
      </w:r>
      <w:r w:rsidR="00F431B6">
        <w:t xml:space="preserve"> 10 days.</w:t>
      </w:r>
      <w:r w:rsidR="00745371">
        <w:rPr>
          <w:vertAlign w:val="superscript"/>
        </w:rPr>
        <w:t>10</w:t>
      </w:r>
      <w:r w:rsidR="003174B3">
        <w:t xml:space="preserve"> It has been suggested that the longer durations may alter normal urogenital flora thus predisposing patients to unnecessary treatment failure as observed in these trials. </w:t>
      </w:r>
    </w:p>
    <w:p w14:paraId="417C519E" w14:textId="77777777" w:rsidR="00A35C61" w:rsidRDefault="00A35C61">
      <w:r>
        <w:t xml:space="preserve">Shorter </w:t>
      </w:r>
      <w:r w:rsidR="003174B3">
        <w:t xml:space="preserve">antibiotic </w:t>
      </w:r>
      <w:r>
        <w:t>durations</w:t>
      </w:r>
      <w:r w:rsidR="003174B3">
        <w:t xml:space="preserve"> have been incorporated into the A2SC’s Alaska specific Urinary Tract Infection Treatment Guidelines published in </w:t>
      </w:r>
      <w:r w:rsidR="00275582">
        <w:t xml:space="preserve">November of 2018.  These </w:t>
      </w:r>
      <w:r w:rsidR="006D361A">
        <w:t xml:space="preserve">recommended durations </w:t>
      </w:r>
      <w:r w:rsidR="00275582">
        <w:t xml:space="preserve">reflect the latest literature that supports shorter durations of therapy to </w:t>
      </w:r>
      <w:r>
        <w:t>prevent collatera</w:t>
      </w:r>
      <w:r w:rsidR="00275582">
        <w:t>l dama</w:t>
      </w:r>
      <w:r w:rsidR="00F45B63">
        <w:t>ge and treatment failure (</w:t>
      </w:r>
      <w:r w:rsidR="00275582">
        <w:t>Table 1</w:t>
      </w:r>
      <w:r w:rsidR="00F45B63">
        <w:t>)</w:t>
      </w:r>
      <w:r w:rsidR="006D361A">
        <w:t xml:space="preserve"> in conjunction with antibiotic susceptibility specific to Alaska. </w:t>
      </w:r>
    </w:p>
    <w:p w14:paraId="5953E03B" w14:textId="77777777" w:rsidR="001E3137" w:rsidRDefault="001E3137" w:rsidP="00300134">
      <w:pPr>
        <w:pStyle w:val="Caption"/>
        <w:keepNext/>
        <w:jc w:val="center"/>
      </w:pPr>
      <w:r>
        <w:t xml:space="preserve">Table </w:t>
      </w:r>
      <w:r w:rsidR="008B6793">
        <w:fldChar w:fldCharType="begin"/>
      </w:r>
      <w:r w:rsidR="008B6793">
        <w:instrText xml:space="preserve"> SEQ Table \* ARABIC </w:instrText>
      </w:r>
      <w:r w:rsidR="008B6793">
        <w:fldChar w:fldCharType="separate"/>
      </w:r>
      <w:r>
        <w:rPr>
          <w:noProof/>
        </w:rPr>
        <w:t>1</w:t>
      </w:r>
      <w:r w:rsidR="008B6793">
        <w:rPr>
          <w:noProof/>
        </w:rPr>
        <w:fldChar w:fldCharType="end"/>
      </w:r>
      <w:r>
        <w:t>: Antibiotic durations for urinary tract infections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1260"/>
      </w:tblGrid>
      <w:tr w:rsidR="001E3137" w14:paraId="655002A7" w14:textId="77777777" w:rsidTr="00300134">
        <w:trPr>
          <w:jc w:val="center"/>
        </w:trPr>
        <w:tc>
          <w:tcPr>
            <w:tcW w:w="4585" w:type="dxa"/>
          </w:tcPr>
          <w:p w14:paraId="01CE1C5E" w14:textId="77777777" w:rsidR="001E3137" w:rsidRDefault="001E3137">
            <w:r w:rsidRPr="001E3137">
              <w:rPr>
                <w:b/>
              </w:rPr>
              <w:t>Cystitis</w:t>
            </w:r>
            <w:r>
              <w:t xml:space="preserve"> </w:t>
            </w:r>
          </w:p>
        </w:tc>
        <w:tc>
          <w:tcPr>
            <w:tcW w:w="1260" w:type="dxa"/>
          </w:tcPr>
          <w:p w14:paraId="5B22E8F6" w14:textId="77777777" w:rsidR="001E3137" w:rsidRDefault="001E3137"/>
        </w:tc>
      </w:tr>
      <w:tr w:rsidR="001E3137" w14:paraId="7AF50565" w14:textId="77777777" w:rsidTr="00300134">
        <w:trPr>
          <w:jc w:val="center"/>
        </w:trPr>
        <w:tc>
          <w:tcPr>
            <w:tcW w:w="4585" w:type="dxa"/>
          </w:tcPr>
          <w:p w14:paraId="4982B6FB" w14:textId="77777777" w:rsidR="001E3137" w:rsidRDefault="001E3137" w:rsidP="001E3137">
            <w:pPr>
              <w:ind w:left="720"/>
            </w:pPr>
            <w:r>
              <w:t>Nitrofurantoin</w:t>
            </w:r>
          </w:p>
        </w:tc>
        <w:tc>
          <w:tcPr>
            <w:tcW w:w="1260" w:type="dxa"/>
          </w:tcPr>
          <w:p w14:paraId="36B28DC1" w14:textId="77777777" w:rsidR="001E3137" w:rsidRDefault="001E3137">
            <w:r>
              <w:t xml:space="preserve">5 days </w:t>
            </w:r>
          </w:p>
        </w:tc>
      </w:tr>
      <w:tr w:rsidR="001E3137" w14:paraId="52E3C7CE" w14:textId="77777777" w:rsidTr="00300134">
        <w:trPr>
          <w:jc w:val="center"/>
        </w:trPr>
        <w:tc>
          <w:tcPr>
            <w:tcW w:w="4585" w:type="dxa"/>
          </w:tcPr>
          <w:p w14:paraId="24DCDD31" w14:textId="77777777" w:rsidR="001E3137" w:rsidRDefault="001E3137" w:rsidP="001E3137">
            <w:pPr>
              <w:ind w:left="720"/>
            </w:pPr>
            <w:r>
              <w:t xml:space="preserve">or Cephalexin </w:t>
            </w:r>
          </w:p>
        </w:tc>
        <w:tc>
          <w:tcPr>
            <w:tcW w:w="1260" w:type="dxa"/>
          </w:tcPr>
          <w:p w14:paraId="481E710C" w14:textId="77777777" w:rsidR="001E3137" w:rsidRDefault="001E3137">
            <w:r>
              <w:t xml:space="preserve">7 days </w:t>
            </w:r>
          </w:p>
        </w:tc>
      </w:tr>
      <w:tr w:rsidR="001E3137" w14:paraId="7AA2BB5B" w14:textId="77777777" w:rsidTr="00300134">
        <w:trPr>
          <w:jc w:val="center"/>
        </w:trPr>
        <w:tc>
          <w:tcPr>
            <w:tcW w:w="4585" w:type="dxa"/>
          </w:tcPr>
          <w:p w14:paraId="0774F9A3" w14:textId="77777777" w:rsidR="001E3137" w:rsidRDefault="001E3137" w:rsidP="001E3137">
            <w:pPr>
              <w:ind w:left="720"/>
            </w:pPr>
            <w:r>
              <w:t xml:space="preserve">or Ciprofloxacin (second line) </w:t>
            </w:r>
          </w:p>
        </w:tc>
        <w:tc>
          <w:tcPr>
            <w:tcW w:w="1260" w:type="dxa"/>
          </w:tcPr>
          <w:p w14:paraId="2D99A6DA" w14:textId="77777777" w:rsidR="001E3137" w:rsidRDefault="001E3137">
            <w:r>
              <w:t xml:space="preserve">3 days </w:t>
            </w:r>
          </w:p>
        </w:tc>
      </w:tr>
      <w:tr w:rsidR="001E3137" w14:paraId="3A782272" w14:textId="77777777" w:rsidTr="00300134">
        <w:trPr>
          <w:jc w:val="center"/>
        </w:trPr>
        <w:tc>
          <w:tcPr>
            <w:tcW w:w="4585" w:type="dxa"/>
          </w:tcPr>
          <w:p w14:paraId="4FFA7ACF" w14:textId="77777777" w:rsidR="001E3137" w:rsidRDefault="001E3137" w:rsidP="00300134">
            <w:r w:rsidRPr="001E3137">
              <w:rPr>
                <w:b/>
              </w:rPr>
              <w:t>Pyelonephritis</w:t>
            </w:r>
            <w:r>
              <w:t xml:space="preserve"> </w:t>
            </w:r>
          </w:p>
        </w:tc>
        <w:tc>
          <w:tcPr>
            <w:tcW w:w="1260" w:type="dxa"/>
          </w:tcPr>
          <w:p w14:paraId="57462EA4" w14:textId="77777777" w:rsidR="001E3137" w:rsidRDefault="001E3137"/>
        </w:tc>
      </w:tr>
      <w:tr w:rsidR="00300134" w14:paraId="6082720D" w14:textId="77777777" w:rsidTr="00300134">
        <w:trPr>
          <w:jc w:val="center"/>
        </w:trPr>
        <w:tc>
          <w:tcPr>
            <w:tcW w:w="4585" w:type="dxa"/>
          </w:tcPr>
          <w:p w14:paraId="2DCE333A" w14:textId="77777777" w:rsidR="00300134" w:rsidRPr="001E3137" w:rsidRDefault="00300134" w:rsidP="00300134">
            <w:pPr>
              <w:ind w:left="720"/>
              <w:rPr>
                <w:b/>
              </w:rPr>
            </w:pPr>
            <w:r>
              <w:t>Ceftriaxone and</w:t>
            </w:r>
          </w:p>
        </w:tc>
        <w:tc>
          <w:tcPr>
            <w:tcW w:w="1260" w:type="dxa"/>
          </w:tcPr>
          <w:p w14:paraId="5A8FFA4E" w14:textId="77777777" w:rsidR="00300134" w:rsidRDefault="00300134">
            <w:r>
              <w:t>1 dose</w:t>
            </w:r>
          </w:p>
        </w:tc>
      </w:tr>
      <w:tr w:rsidR="001E3137" w14:paraId="68DEABAF" w14:textId="77777777" w:rsidTr="00300134">
        <w:trPr>
          <w:jc w:val="center"/>
        </w:trPr>
        <w:tc>
          <w:tcPr>
            <w:tcW w:w="4585" w:type="dxa"/>
          </w:tcPr>
          <w:p w14:paraId="075E5643" w14:textId="77777777" w:rsidR="001E3137" w:rsidRDefault="001E3137" w:rsidP="001E3137">
            <w:pPr>
              <w:ind w:left="720"/>
            </w:pPr>
            <w:r>
              <w:t xml:space="preserve">Cephalexin </w:t>
            </w:r>
          </w:p>
        </w:tc>
        <w:tc>
          <w:tcPr>
            <w:tcW w:w="1260" w:type="dxa"/>
          </w:tcPr>
          <w:p w14:paraId="491FED47" w14:textId="77777777" w:rsidR="001E3137" w:rsidRDefault="001E3137">
            <w:r>
              <w:t xml:space="preserve">10-14 days </w:t>
            </w:r>
          </w:p>
        </w:tc>
      </w:tr>
      <w:tr w:rsidR="001E3137" w14:paraId="267EC5BE" w14:textId="77777777" w:rsidTr="00300134">
        <w:trPr>
          <w:jc w:val="center"/>
        </w:trPr>
        <w:tc>
          <w:tcPr>
            <w:tcW w:w="4585" w:type="dxa"/>
          </w:tcPr>
          <w:p w14:paraId="416D522F" w14:textId="77777777" w:rsidR="001E3137" w:rsidRDefault="001E3137" w:rsidP="001E3137">
            <w:pPr>
              <w:ind w:left="720"/>
            </w:pPr>
            <w:r>
              <w:t xml:space="preserve">or Ciprofloxacin (second line) </w:t>
            </w:r>
          </w:p>
        </w:tc>
        <w:tc>
          <w:tcPr>
            <w:tcW w:w="1260" w:type="dxa"/>
          </w:tcPr>
          <w:p w14:paraId="19F6A759" w14:textId="77777777" w:rsidR="001E3137" w:rsidRDefault="001E3137">
            <w:r>
              <w:t xml:space="preserve">7 days </w:t>
            </w:r>
          </w:p>
        </w:tc>
      </w:tr>
    </w:tbl>
    <w:p w14:paraId="0EA610F9" w14:textId="77777777" w:rsidR="0031081F" w:rsidRDefault="0031081F" w:rsidP="0031081F">
      <w:pPr>
        <w:spacing w:line="240" w:lineRule="auto"/>
        <w:rPr>
          <w:rStyle w:val="mixed-citation"/>
          <w:b/>
          <w:sz w:val="20"/>
          <w:szCs w:val="20"/>
          <w:lang w:val="en"/>
        </w:rPr>
      </w:pPr>
    </w:p>
    <w:p w14:paraId="6667D1B0" w14:textId="1DF30225" w:rsidR="00296417" w:rsidRPr="008E3BC4" w:rsidRDefault="00275582" w:rsidP="0031081F">
      <w:pPr>
        <w:spacing w:line="240" w:lineRule="auto"/>
        <w:rPr>
          <w:rStyle w:val="mixed-citation"/>
          <w:i/>
          <w:iCs/>
          <w:sz w:val="20"/>
          <w:szCs w:val="20"/>
          <w:u w:val="single"/>
          <w:lang w:val="en"/>
        </w:rPr>
      </w:pPr>
      <w:r w:rsidRPr="008E3BC4">
        <w:rPr>
          <w:rStyle w:val="mixed-citation"/>
          <w:b/>
          <w:i/>
          <w:iCs/>
          <w:sz w:val="20"/>
          <w:szCs w:val="20"/>
          <w:u w:val="single"/>
          <w:lang w:val="en"/>
        </w:rPr>
        <w:t>References</w:t>
      </w:r>
      <w:r w:rsidRPr="008E3BC4">
        <w:rPr>
          <w:rStyle w:val="mixed-citation"/>
          <w:i/>
          <w:iCs/>
          <w:sz w:val="20"/>
          <w:szCs w:val="20"/>
          <w:u w:val="single"/>
          <w:lang w:val="en"/>
        </w:rPr>
        <w:t xml:space="preserve"> </w:t>
      </w:r>
    </w:p>
    <w:p w14:paraId="37E44978" w14:textId="77777777" w:rsidR="00296417" w:rsidRPr="0031081F" w:rsidRDefault="00296417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r w:rsidRPr="0031081F">
        <w:rPr>
          <w:rStyle w:val="mixed-citation"/>
          <w:sz w:val="20"/>
          <w:szCs w:val="20"/>
          <w:lang w:val="en"/>
        </w:rPr>
        <w:t>Gupta K, Hooton T, et all. International Clinical Practice Guidelines for the Treatment of Acute Uncomplicated Cystitis and Pyelonephritis in Women: A 2010 Update by the Infectious Diseases Society of America and the European Society for Microbiology and Infectious Diseases. Clinical In</w:t>
      </w:r>
      <w:r w:rsidR="001855F5" w:rsidRPr="0031081F">
        <w:rPr>
          <w:rStyle w:val="mixed-citation"/>
          <w:sz w:val="20"/>
          <w:szCs w:val="20"/>
          <w:lang w:val="en"/>
        </w:rPr>
        <w:t>fectious Diseases, 2011; 52(5):</w:t>
      </w:r>
      <w:r w:rsidRPr="0031081F">
        <w:rPr>
          <w:rStyle w:val="mixed-citation"/>
          <w:sz w:val="20"/>
          <w:szCs w:val="20"/>
          <w:lang w:val="en"/>
        </w:rPr>
        <w:t xml:space="preserve">e103-120. </w:t>
      </w:r>
    </w:p>
    <w:p w14:paraId="4BE35616" w14:textId="77777777" w:rsidR="001855F5" w:rsidRPr="0031081F" w:rsidRDefault="001855F5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r w:rsidRPr="0031081F">
        <w:rPr>
          <w:rStyle w:val="mixed-citation"/>
          <w:sz w:val="20"/>
          <w:szCs w:val="20"/>
        </w:rPr>
        <w:t xml:space="preserve">Sandberg T, Skoog G, </w:t>
      </w:r>
      <w:proofErr w:type="spellStart"/>
      <w:r w:rsidRPr="0031081F">
        <w:rPr>
          <w:rStyle w:val="mixed-citation"/>
          <w:sz w:val="20"/>
          <w:szCs w:val="20"/>
        </w:rPr>
        <w:t>Bornefalk</w:t>
      </w:r>
      <w:proofErr w:type="spellEnd"/>
      <w:r w:rsidRPr="0031081F">
        <w:rPr>
          <w:rStyle w:val="mixed-citation"/>
          <w:sz w:val="20"/>
          <w:szCs w:val="20"/>
        </w:rPr>
        <w:t xml:space="preserve"> </w:t>
      </w:r>
      <w:proofErr w:type="spellStart"/>
      <w:r w:rsidRPr="0031081F">
        <w:rPr>
          <w:rStyle w:val="mixed-citation"/>
          <w:sz w:val="20"/>
          <w:szCs w:val="20"/>
        </w:rPr>
        <w:t>Hermansson</w:t>
      </w:r>
      <w:proofErr w:type="spellEnd"/>
      <w:r w:rsidRPr="0031081F">
        <w:rPr>
          <w:rStyle w:val="mixed-citation"/>
          <w:sz w:val="20"/>
          <w:szCs w:val="20"/>
        </w:rPr>
        <w:t xml:space="preserve"> A, et all. Ciproﬂoxacin for 7 days versus 14 days in women with acute pyelonephritis: a </w:t>
      </w:r>
      <w:proofErr w:type="spellStart"/>
      <w:r w:rsidRPr="0031081F">
        <w:rPr>
          <w:rStyle w:val="mixed-citation"/>
          <w:sz w:val="20"/>
          <w:szCs w:val="20"/>
        </w:rPr>
        <w:t>randomised</w:t>
      </w:r>
      <w:proofErr w:type="spellEnd"/>
      <w:r w:rsidRPr="0031081F">
        <w:rPr>
          <w:rStyle w:val="mixed-citation"/>
          <w:sz w:val="20"/>
          <w:szCs w:val="20"/>
        </w:rPr>
        <w:t xml:space="preserve">, open-label and double-blind, placebo controlled, non-inferiority trial. Lancet, 2012; 380:484-90. </w:t>
      </w:r>
    </w:p>
    <w:p w14:paraId="6B6A6D7F" w14:textId="77777777" w:rsidR="00745371" w:rsidRPr="0031081F" w:rsidRDefault="001855F5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proofErr w:type="spellStart"/>
      <w:r w:rsidRPr="0031081F">
        <w:rPr>
          <w:rStyle w:val="mixed-citation"/>
          <w:sz w:val="20"/>
          <w:szCs w:val="20"/>
        </w:rPr>
        <w:t>Dinh</w:t>
      </w:r>
      <w:proofErr w:type="spellEnd"/>
      <w:r w:rsidRPr="0031081F">
        <w:rPr>
          <w:rStyle w:val="mixed-citation"/>
          <w:sz w:val="20"/>
          <w:szCs w:val="20"/>
        </w:rPr>
        <w:t xml:space="preserve"> A, Davida B, Etienne M, </w:t>
      </w:r>
      <w:proofErr w:type="spellStart"/>
      <w:r w:rsidRPr="0031081F">
        <w:rPr>
          <w:rStyle w:val="mixed-citation"/>
          <w:sz w:val="20"/>
          <w:szCs w:val="20"/>
        </w:rPr>
        <w:t>Bouchand</w:t>
      </w:r>
      <w:proofErr w:type="spellEnd"/>
      <w:r w:rsidRPr="0031081F">
        <w:rPr>
          <w:rStyle w:val="mixed-citation"/>
          <w:sz w:val="20"/>
          <w:szCs w:val="20"/>
        </w:rPr>
        <w:t xml:space="preserve"> F. Is 5 days of oral fluoroquinolone enough for acute uncomplicated pyelonephritis? The DTP randomized trial. Eur J Clin Microbiol Infect Dis; 2017 36:1443–1448. </w:t>
      </w:r>
    </w:p>
    <w:p w14:paraId="6CF7835E" w14:textId="77777777" w:rsidR="00745371" w:rsidRPr="0031081F" w:rsidRDefault="00745371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r w:rsidRPr="0031081F">
        <w:rPr>
          <w:rStyle w:val="mixed-citation"/>
          <w:sz w:val="20"/>
          <w:szCs w:val="20"/>
          <w:lang w:val="en"/>
        </w:rPr>
        <w:t xml:space="preserve">Peterson J, Kaul S, </w:t>
      </w:r>
      <w:proofErr w:type="spellStart"/>
      <w:r w:rsidRPr="0031081F">
        <w:rPr>
          <w:rStyle w:val="mixed-citation"/>
          <w:sz w:val="20"/>
          <w:szCs w:val="20"/>
          <w:lang w:val="en"/>
        </w:rPr>
        <w:t>Khashab</w:t>
      </w:r>
      <w:proofErr w:type="spellEnd"/>
      <w:r w:rsidRPr="0031081F">
        <w:rPr>
          <w:rStyle w:val="mixed-citation"/>
          <w:sz w:val="20"/>
          <w:szCs w:val="20"/>
          <w:lang w:val="en"/>
        </w:rPr>
        <w:t xml:space="preserve"> M, et all. A double-blind, randomized comparison of levofloxacin 750 mg </w:t>
      </w:r>
      <w:proofErr w:type="gramStart"/>
      <w:r w:rsidRPr="0031081F">
        <w:rPr>
          <w:rStyle w:val="mixed-citation"/>
          <w:sz w:val="20"/>
          <w:szCs w:val="20"/>
          <w:lang w:val="en"/>
        </w:rPr>
        <w:t>once-daily</w:t>
      </w:r>
      <w:proofErr w:type="gramEnd"/>
      <w:r w:rsidRPr="0031081F">
        <w:rPr>
          <w:rStyle w:val="mixed-citation"/>
          <w:sz w:val="20"/>
          <w:szCs w:val="20"/>
          <w:lang w:val="en"/>
        </w:rPr>
        <w:t xml:space="preserve"> for five days with ciprofloxacin 400/500 mg twice daily for 10 days for the treatment of complicated urinary tract infections and acute pyelonephritis. Urology, 2008;  71:17–22.</w:t>
      </w:r>
    </w:p>
    <w:p w14:paraId="6E778C15" w14:textId="77777777" w:rsidR="00745371" w:rsidRPr="0031081F" w:rsidRDefault="00745371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r w:rsidRPr="0031081F">
        <w:rPr>
          <w:rStyle w:val="mixed-citation"/>
          <w:sz w:val="20"/>
          <w:szCs w:val="20"/>
        </w:rPr>
        <w:t xml:space="preserve">Klausner HA, Brown P, Peterson J, et all. A trial of levofloxacin 750 mg once daily for 5 days versus ciprofloxacin 400 mg and/or 500 mg twice daily for 10 days in the treatment of acute pyelonephritis. </w:t>
      </w:r>
      <w:proofErr w:type="spellStart"/>
      <w:r w:rsidRPr="0031081F">
        <w:rPr>
          <w:rStyle w:val="mixed-citation"/>
          <w:sz w:val="20"/>
          <w:szCs w:val="20"/>
        </w:rPr>
        <w:t>Curr</w:t>
      </w:r>
      <w:proofErr w:type="spellEnd"/>
      <w:r w:rsidRPr="0031081F">
        <w:rPr>
          <w:rStyle w:val="mixed-citation"/>
          <w:sz w:val="20"/>
          <w:szCs w:val="20"/>
        </w:rPr>
        <w:t xml:space="preserve"> Med Res </w:t>
      </w:r>
      <w:proofErr w:type="spellStart"/>
      <w:r w:rsidRPr="0031081F">
        <w:rPr>
          <w:rStyle w:val="mixed-citation"/>
          <w:sz w:val="20"/>
          <w:szCs w:val="20"/>
        </w:rPr>
        <w:t>Opin</w:t>
      </w:r>
      <w:proofErr w:type="spellEnd"/>
      <w:r w:rsidRPr="0031081F">
        <w:rPr>
          <w:rStyle w:val="mixed-citation"/>
          <w:sz w:val="20"/>
          <w:szCs w:val="20"/>
        </w:rPr>
        <w:t>, 2008; 23: 2637–2645.</w:t>
      </w:r>
    </w:p>
    <w:p w14:paraId="7B45E0DC" w14:textId="77777777" w:rsidR="003E1028" w:rsidRPr="0031081F" w:rsidRDefault="00A35C61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proofErr w:type="spellStart"/>
      <w:r w:rsidRPr="0031081F">
        <w:rPr>
          <w:rStyle w:val="mixed-citation"/>
          <w:sz w:val="20"/>
          <w:szCs w:val="20"/>
          <w:lang w:val="en"/>
        </w:rPr>
        <w:t>Grigoryan</w:t>
      </w:r>
      <w:proofErr w:type="spellEnd"/>
      <w:r w:rsidRPr="0031081F">
        <w:rPr>
          <w:rStyle w:val="mixed-citation"/>
          <w:sz w:val="20"/>
          <w:szCs w:val="20"/>
          <w:lang w:val="en"/>
        </w:rPr>
        <w:t xml:space="preserve"> L, </w:t>
      </w:r>
      <w:proofErr w:type="spellStart"/>
      <w:r w:rsidRPr="0031081F">
        <w:rPr>
          <w:rStyle w:val="mixed-citation"/>
          <w:sz w:val="20"/>
          <w:szCs w:val="20"/>
          <w:lang w:val="en"/>
        </w:rPr>
        <w:t>Zoorob</w:t>
      </w:r>
      <w:proofErr w:type="spellEnd"/>
      <w:r w:rsidRPr="0031081F">
        <w:rPr>
          <w:rStyle w:val="mixed-citation"/>
          <w:sz w:val="20"/>
          <w:szCs w:val="20"/>
          <w:lang w:val="en"/>
        </w:rPr>
        <w:t xml:space="preserve"> R, Wang H, et al. </w:t>
      </w:r>
      <w:r w:rsidRPr="0031081F">
        <w:rPr>
          <w:rStyle w:val="ref-title"/>
          <w:sz w:val="20"/>
          <w:szCs w:val="20"/>
          <w:lang w:val="en"/>
        </w:rPr>
        <w:t>Less workup, longer treatment, but no clinical benefit observed in women with diabetes and acute cystitis</w:t>
      </w:r>
      <w:r w:rsidRPr="0031081F">
        <w:rPr>
          <w:rStyle w:val="mixed-citation"/>
          <w:sz w:val="20"/>
          <w:szCs w:val="20"/>
          <w:lang w:val="en"/>
        </w:rPr>
        <w:t xml:space="preserve">. </w:t>
      </w:r>
      <w:r w:rsidRPr="0031081F">
        <w:rPr>
          <w:rStyle w:val="ref-journal"/>
          <w:sz w:val="20"/>
          <w:szCs w:val="20"/>
          <w:lang w:val="en"/>
        </w:rPr>
        <w:t xml:space="preserve">Diabetes Res Clin </w:t>
      </w:r>
      <w:proofErr w:type="spellStart"/>
      <w:r w:rsidRPr="0031081F">
        <w:rPr>
          <w:rStyle w:val="ref-journal"/>
          <w:sz w:val="20"/>
          <w:szCs w:val="20"/>
          <w:lang w:val="en"/>
        </w:rPr>
        <w:t>Pract</w:t>
      </w:r>
      <w:proofErr w:type="spellEnd"/>
      <w:r w:rsidR="001855F5" w:rsidRPr="0031081F">
        <w:rPr>
          <w:rStyle w:val="ref-journal"/>
          <w:sz w:val="20"/>
          <w:szCs w:val="20"/>
          <w:lang w:val="en"/>
        </w:rPr>
        <w:t>,</w:t>
      </w:r>
      <w:r w:rsidRPr="0031081F">
        <w:rPr>
          <w:rStyle w:val="mixed-citation"/>
          <w:sz w:val="20"/>
          <w:szCs w:val="20"/>
          <w:lang w:val="en"/>
        </w:rPr>
        <w:t xml:space="preserve"> 2017; </w:t>
      </w:r>
      <w:r w:rsidRPr="0031081F">
        <w:rPr>
          <w:rStyle w:val="ref-vol"/>
          <w:sz w:val="20"/>
          <w:szCs w:val="20"/>
          <w:lang w:val="en"/>
        </w:rPr>
        <w:t>129</w:t>
      </w:r>
      <w:r w:rsidRPr="0031081F">
        <w:rPr>
          <w:rStyle w:val="mixed-citation"/>
          <w:sz w:val="20"/>
          <w:szCs w:val="20"/>
          <w:lang w:val="en"/>
        </w:rPr>
        <w:t>:197–202.</w:t>
      </w:r>
    </w:p>
    <w:p w14:paraId="42D05307" w14:textId="77777777" w:rsidR="003E1028" w:rsidRPr="0031081F" w:rsidRDefault="00C83273" w:rsidP="0031081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31081F">
        <w:rPr>
          <w:sz w:val="20"/>
          <w:szCs w:val="20"/>
        </w:rPr>
        <w:t>Germanos</w:t>
      </w:r>
      <w:proofErr w:type="spellEnd"/>
      <w:r w:rsidRPr="0031081F">
        <w:rPr>
          <w:sz w:val="20"/>
          <w:szCs w:val="20"/>
        </w:rPr>
        <w:t xml:space="preserve">, George J et al. No Clinical Benefit to Treating Male Urinary Tract Infection Longer Than Seven Days: An Outpatient Database Study. </w:t>
      </w:r>
      <w:r w:rsidRPr="0031081F">
        <w:rPr>
          <w:iCs/>
          <w:sz w:val="20"/>
          <w:szCs w:val="20"/>
        </w:rPr>
        <w:t>Open forum infectious diseases</w:t>
      </w:r>
      <w:r w:rsidR="001855F5" w:rsidRPr="0031081F">
        <w:rPr>
          <w:sz w:val="20"/>
          <w:szCs w:val="20"/>
        </w:rPr>
        <w:t>,</w:t>
      </w:r>
      <w:r w:rsidRPr="0031081F">
        <w:rPr>
          <w:sz w:val="20"/>
          <w:szCs w:val="20"/>
        </w:rPr>
        <w:t xml:space="preserve"> </w:t>
      </w:r>
      <w:r w:rsidR="001B72B3" w:rsidRPr="0031081F">
        <w:rPr>
          <w:sz w:val="20"/>
          <w:szCs w:val="20"/>
        </w:rPr>
        <w:t xml:space="preserve">2019; </w:t>
      </w:r>
      <w:r w:rsidRPr="0031081F">
        <w:rPr>
          <w:sz w:val="20"/>
          <w:szCs w:val="20"/>
        </w:rPr>
        <w:t>6(6</w:t>
      </w:r>
      <w:r w:rsidR="001B72B3" w:rsidRPr="0031081F">
        <w:rPr>
          <w:sz w:val="20"/>
          <w:szCs w:val="20"/>
        </w:rPr>
        <w:t>): ofz216</w:t>
      </w:r>
      <w:r w:rsidRPr="0031081F">
        <w:rPr>
          <w:sz w:val="20"/>
          <w:szCs w:val="20"/>
        </w:rPr>
        <w:t xml:space="preserve">. </w:t>
      </w:r>
    </w:p>
    <w:p w14:paraId="4D0E1E2A" w14:textId="77777777" w:rsidR="003E1028" w:rsidRPr="0031081F" w:rsidRDefault="00C83273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r w:rsidRPr="0031081F">
        <w:rPr>
          <w:rStyle w:val="mixed-citation"/>
          <w:sz w:val="20"/>
          <w:szCs w:val="20"/>
          <w:lang w:val="en"/>
        </w:rPr>
        <w:t>ClinicalTrials.gov. Seven vs. 14 days treatment for male urinary tract infection Available at: https://clinicaltrials.gov/ct2/show/</w:t>
      </w:r>
      <w:hyperlink r:id="rId6" w:history="1">
        <w:r w:rsidRPr="0031081F">
          <w:rPr>
            <w:rStyle w:val="tag-json"/>
            <w:vanish/>
            <w:color w:val="0000FF"/>
            <w:sz w:val="20"/>
            <w:szCs w:val="20"/>
            <w:u w:val="single"/>
            <w:lang w:val="en"/>
          </w:rPr>
          <w:t>{"type":"clinical-trial","attrs":{"text":"NCT01994538","term_id":"NCT01994538"}}</w:t>
        </w:r>
        <w:r w:rsidRPr="0031081F">
          <w:rPr>
            <w:rStyle w:val="Hyperlink"/>
            <w:sz w:val="20"/>
            <w:szCs w:val="20"/>
            <w:lang w:val="en"/>
          </w:rPr>
          <w:t>NCT01994538</w:t>
        </w:r>
      </w:hyperlink>
      <w:r w:rsidRPr="0031081F">
        <w:rPr>
          <w:rStyle w:val="mixed-citation"/>
          <w:sz w:val="20"/>
          <w:szCs w:val="20"/>
          <w:lang w:val="en"/>
        </w:rPr>
        <w:t>. Accessed November 13, 2019.</w:t>
      </w:r>
    </w:p>
    <w:p w14:paraId="31A81D4E" w14:textId="77777777" w:rsidR="00C83273" w:rsidRPr="0031081F" w:rsidRDefault="00C83273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proofErr w:type="spellStart"/>
      <w:r w:rsidRPr="0031081F">
        <w:rPr>
          <w:rStyle w:val="mixed-citation"/>
          <w:sz w:val="20"/>
          <w:szCs w:val="20"/>
          <w:lang w:val="en"/>
        </w:rPr>
        <w:t>Drekonja</w:t>
      </w:r>
      <w:proofErr w:type="spellEnd"/>
      <w:r w:rsidRPr="0031081F">
        <w:rPr>
          <w:rStyle w:val="mixed-citation"/>
          <w:sz w:val="20"/>
          <w:szCs w:val="20"/>
          <w:lang w:val="en"/>
        </w:rPr>
        <w:t xml:space="preserve"> DM, Rector TS, Cutting A, Johnson JR. </w:t>
      </w:r>
      <w:r w:rsidRPr="0031081F">
        <w:rPr>
          <w:rStyle w:val="ref-title"/>
          <w:sz w:val="20"/>
          <w:szCs w:val="20"/>
          <w:lang w:val="en"/>
        </w:rPr>
        <w:t>Urinary tract infection in male veterans: treatment patterns and outcomes</w:t>
      </w:r>
      <w:r w:rsidRPr="0031081F">
        <w:rPr>
          <w:rStyle w:val="mixed-citation"/>
          <w:sz w:val="20"/>
          <w:szCs w:val="20"/>
          <w:lang w:val="en"/>
        </w:rPr>
        <w:t xml:space="preserve">. </w:t>
      </w:r>
      <w:r w:rsidRPr="0031081F">
        <w:rPr>
          <w:rStyle w:val="ref-journal"/>
          <w:sz w:val="20"/>
          <w:szCs w:val="20"/>
          <w:lang w:val="en"/>
        </w:rPr>
        <w:t>JAMA Intern Med</w:t>
      </w:r>
      <w:r w:rsidR="001855F5" w:rsidRPr="0031081F">
        <w:rPr>
          <w:rStyle w:val="ref-journal"/>
          <w:sz w:val="20"/>
          <w:szCs w:val="20"/>
          <w:lang w:val="en"/>
        </w:rPr>
        <w:t>,</w:t>
      </w:r>
      <w:r w:rsidRPr="0031081F">
        <w:rPr>
          <w:rStyle w:val="mixed-citation"/>
          <w:sz w:val="20"/>
          <w:szCs w:val="20"/>
          <w:lang w:val="en"/>
        </w:rPr>
        <w:t xml:space="preserve"> 2013; </w:t>
      </w:r>
      <w:r w:rsidRPr="0031081F">
        <w:rPr>
          <w:rStyle w:val="ref-vol"/>
          <w:sz w:val="20"/>
          <w:szCs w:val="20"/>
          <w:lang w:val="en"/>
        </w:rPr>
        <w:t>173</w:t>
      </w:r>
      <w:r w:rsidRPr="0031081F">
        <w:rPr>
          <w:rStyle w:val="mixed-citation"/>
          <w:sz w:val="20"/>
          <w:szCs w:val="20"/>
          <w:lang w:val="en"/>
        </w:rPr>
        <w:t>:62–8.</w:t>
      </w:r>
    </w:p>
    <w:p w14:paraId="19791055" w14:textId="77777777" w:rsidR="009B5003" w:rsidRPr="0031081F" w:rsidRDefault="009B5003" w:rsidP="0031081F">
      <w:pPr>
        <w:pStyle w:val="ListParagraph"/>
        <w:numPr>
          <w:ilvl w:val="0"/>
          <w:numId w:val="1"/>
        </w:numPr>
        <w:spacing w:line="240" w:lineRule="auto"/>
        <w:rPr>
          <w:rStyle w:val="mixed-citation"/>
          <w:sz w:val="20"/>
          <w:szCs w:val="20"/>
        </w:rPr>
      </w:pPr>
      <w:proofErr w:type="spellStart"/>
      <w:r w:rsidRPr="0031081F">
        <w:rPr>
          <w:rStyle w:val="mixed-citation"/>
          <w:sz w:val="20"/>
          <w:szCs w:val="20"/>
        </w:rPr>
        <w:t>Mospan</w:t>
      </w:r>
      <w:proofErr w:type="spellEnd"/>
      <w:r w:rsidRPr="0031081F">
        <w:rPr>
          <w:rStyle w:val="mixed-citation"/>
          <w:sz w:val="20"/>
          <w:szCs w:val="20"/>
        </w:rPr>
        <w:t xml:space="preserve"> GA, </w:t>
      </w:r>
      <w:proofErr w:type="spellStart"/>
      <w:r w:rsidRPr="0031081F">
        <w:rPr>
          <w:rStyle w:val="mixed-citation"/>
          <w:sz w:val="20"/>
          <w:szCs w:val="20"/>
        </w:rPr>
        <w:t>Wargo</w:t>
      </w:r>
      <w:proofErr w:type="spellEnd"/>
      <w:r w:rsidRPr="0031081F">
        <w:rPr>
          <w:rStyle w:val="mixed-citation"/>
          <w:sz w:val="20"/>
          <w:szCs w:val="20"/>
        </w:rPr>
        <w:t xml:space="preserve"> KA. 5-Day versus 10-Day Course of Fluoroquinolones in</w:t>
      </w:r>
      <w:r w:rsidR="003307B4" w:rsidRPr="0031081F">
        <w:rPr>
          <w:rStyle w:val="mixed-citation"/>
          <w:sz w:val="20"/>
          <w:szCs w:val="20"/>
        </w:rPr>
        <w:t xml:space="preserve"> </w:t>
      </w:r>
      <w:r w:rsidRPr="0031081F">
        <w:rPr>
          <w:rStyle w:val="mixed-citation"/>
          <w:sz w:val="20"/>
          <w:szCs w:val="20"/>
        </w:rPr>
        <w:t>Outpatient Males with a Urinary Tract Infe</w:t>
      </w:r>
      <w:r w:rsidR="001855F5" w:rsidRPr="0031081F">
        <w:rPr>
          <w:rStyle w:val="mixed-citation"/>
          <w:sz w:val="20"/>
          <w:szCs w:val="20"/>
        </w:rPr>
        <w:t>ction (UTI). J Am Board Fam Med,</w:t>
      </w:r>
      <w:r w:rsidRPr="0031081F">
        <w:rPr>
          <w:rStyle w:val="mixed-citation"/>
          <w:sz w:val="20"/>
          <w:szCs w:val="20"/>
        </w:rPr>
        <w:t xml:space="preserve"> 2016</w:t>
      </w:r>
      <w:r w:rsidR="001855F5" w:rsidRPr="0031081F">
        <w:rPr>
          <w:rStyle w:val="mixed-citation"/>
          <w:sz w:val="20"/>
          <w:szCs w:val="20"/>
        </w:rPr>
        <w:t>;</w:t>
      </w:r>
      <w:r w:rsidR="003307B4" w:rsidRPr="0031081F">
        <w:rPr>
          <w:rStyle w:val="mixed-citation"/>
          <w:sz w:val="20"/>
          <w:szCs w:val="20"/>
        </w:rPr>
        <w:t xml:space="preserve"> </w:t>
      </w:r>
      <w:r w:rsidR="001855F5" w:rsidRPr="0031081F">
        <w:rPr>
          <w:rStyle w:val="mixed-citation"/>
          <w:sz w:val="20"/>
          <w:szCs w:val="20"/>
        </w:rPr>
        <w:t>6</w:t>
      </w:r>
      <w:r w:rsidRPr="0031081F">
        <w:rPr>
          <w:rStyle w:val="mixed-citation"/>
          <w:sz w:val="20"/>
          <w:szCs w:val="20"/>
        </w:rPr>
        <w:t>:654-662.</w:t>
      </w:r>
    </w:p>
    <w:p w14:paraId="54743BEF" w14:textId="77777777" w:rsidR="00C83273" w:rsidRDefault="00C83273">
      <w:pPr>
        <w:rPr>
          <w:rStyle w:val="mixed-citation"/>
          <w:lang w:val="en"/>
        </w:rPr>
      </w:pPr>
    </w:p>
    <w:sectPr w:rsidR="00C83273" w:rsidSect="0031081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589"/>
    <w:multiLevelType w:val="hybridMultilevel"/>
    <w:tmpl w:val="9FA8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0D14"/>
    <w:multiLevelType w:val="hybridMultilevel"/>
    <w:tmpl w:val="9FA8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73"/>
    <w:rsid w:val="000D15E5"/>
    <w:rsid w:val="000D524A"/>
    <w:rsid w:val="0018038B"/>
    <w:rsid w:val="001855F5"/>
    <w:rsid w:val="001A30DD"/>
    <w:rsid w:val="001B72B3"/>
    <w:rsid w:val="001E3137"/>
    <w:rsid w:val="00275582"/>
    <w:rsid w:val="002919A3"/>
    <w:rsid w:val="00295634"/>
    <w:rsid w:val="00296417"/>
    <w:rsid w:val="002C6681"/>
    <w:rsid w:val="00300134"/>
    <w:rsid w:val="0031081F"/>
    <w:rsid w:val="00312568"/>
    <w:rsid w:val="003174B3"/>
    <w:rsid w:val="003307B4"/>
    <w:rsid w:val="00331ACB"/>
    <w:rsid w:val="003403F5"/>
    <w:rsid w:val="003868AD"/>
    <w:rsid w:val="003E1028"/>
    <w:rsid w:val="0042561B"/>
    <w:rsid w:val="004527B9"/>
    <w:rsid w:val="00464CD4"/>
    <w:rsid w:val="00521AB1"/>
    <w:rsid w:val="005502D9"/>
    <w:rsid w:val="005516C3"/>
    <w:rsid w:val="006318C9"/>
    <w:rsid w:val="006A346D"/>
    <w:rsid w:val="006D361A"/>
    <w:rsid w:val="006E616D"/>
    <w:rsid w:val="00721C6D"/>
    <w:rsid w:val="00745371"/>
    <w:rsid w:val="007537C9"/>
    <w:rsid w:val="00822F07"/>
    <w:rsid w:val="00855F4C"/>
    <w:rsid w:val="008A22A1"/>
    <w:rsid w:val="008B6793"/>
    <w:rsid w:val="008E3BC4"/>
    <w:rsid w:val="008F2B15"/>
    <w:rsid w:val="00903A08"/>
    <w:rsid w:val="0093041F"/>
    <w:rsid w:val="009B1778"/>
    <w:rsid w:val="009B5003"/>
    <w:rsid w:val="009F29F2"/>
    <w:rsid w:val="00A35538"/>
    <w:rsid w:val="00A35C61"/>
    <w:rsid w:val="00AE0B34"/>
    <w:rsid w:val="00B21A6A"/>
    <w:rsid w:val="00C20F5B"/>
    <w:rsid w:val="00C83273"/>
    <w:rsid w:val="00CA476A"/>
    <w:rsid w:val="00DD1B40"/>
    <w:rsid w:val="00E13114"/>
    <w:rsid w:val="00E33630"/>
    <w:rsid w:val="00E45C36"/>
    <w:rsid w:val="00F431B6"/>
    <w:rsid w:val="00F45B63"/>
    <w:rsid w:val="00F55862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F804"/>
  <w15:chartTrackingRefBased/>
  <w15:docId w15:val="{0B717A54-BD87-4818-8D4C-3AB1F06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273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C83273"/>
  </w:style>
  <w:style w:type="character" w:customStyle="1" w:styleId="tag-json">
    <w:name w:val="tag-json"/>
    <w:basedOn w:val="DefaultParagraphFont"/>
    <w:rsid w:val="00C83273"/>
  </w:style>
  <w:style w:type="character" w:customStyle="1" w:styleId="ref-title">
    <w:name w:val="ref-title"/>
    <w:basedOn w:val="DefaultParagraphFont"/>
    <w:rsid w:val="00C83273"/>
  </w:style>
  <w:style w:type="character" w:customStyle="1" w:styleId="ref-journal">
    <w:name w:val="ref-journal"/>
    <w:basedOn w:val="DefaultParagraphFont"/>
    <w:rsid w:val="00C83273"/>
  </w:style>
  <w:style w:type="character" w:customStyle="1" w:styleId="ref-vol">
    <w:name w:val="ref-vol"/>
    <w:basedOn w:val="DefaultParagraphFont"/>
    <w:rsid w:val="00C83273"/>
  </w:style>
  <w:style w:type="paragraph" w:styleId="ListParagraph">
    <w:name w:val="List Paragraph"/>
    <w:basedOn w:val="Normal"/>
    <w:uiPriority w:val="34"/>
    <w:qFormat/>
    <w:rsid w:val="00296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0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E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E3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altrials.gov/ct2/show/NCT019945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Corrie</dc:creator>
  <cp:keywords/>
  <dc:description/>
  <cp:lastModifiedBy>Jeannie Monk</cp:lastModifiedBy>
  <cp:revision>2</cp:revision>
  <dcterms:created xsi:type="dcterms:W3CDTF">2019-12-27T18:22:00Z</dcterms:created>
  <dcterms:modified xsi:type="dcterms:W3CDTF">2019-12-27T18:22:00Z</dcterms:modified>
</cp:coreProperties>
</file>