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6CD9" w14:textId="53909D3C" w:rsidR="00EE6299" w:rsidRPr="005A6EEA" w:rsidRDefault="00EE6299" w:rsidP="00EE6299">
      <w:pPr>
        <w:spacing w:line="360" w:lineRule="auto"/>
        <w:rPr>
          <w:rFonts w:asciiTheme="minorHAnsi" w:eastAsia="Times New Roman" w:hAnsiTheme="minorHAnsi" w:cstheme="minorHAnsi"/>
          <w:b/>
          <w:color w:val="333333"/>
          <w:sz w:val="32"/>
          <w:szCs w:val="32"/>
        </w:rPr>
      </w:pPr>
      <w:bookmarkStart w:id="0" w:name="_GoBack"/>
      <w:bookmarkEnd w:id="0"/>
      <w:r w:rsidRPr="005A6EEA">
        <w:rPr>
          <w:rFonts w:asciiTheme="minorHAnsi" w:eastAsia="Times New Roman" w:hAnsiTheme="minorHAnsi" w:cstheme="minorHAnsi"/>
          <w:b/>
          <w:color w:val="333333"/>
          <w:sz w:val="32"/>
          <w:szCs w:val="32"/>
        </w:rPr>
        <w:t>Urinary Tract Infections: Treatment and De-escalation</w:t>
      </w:r>
    </w:p>
    <w:p w14:paraId="5EA88AEF" w14:textId="383B3C99" w:rsidR="00EE6299" w:rsidRPr="006A67EE" w:rsidRDefault="005A6EEA" w:rsidP="00EE6299">
      <w:pPr>
        <w:spacing w:line="360" w:lineRule="auto"/>
        <w:rPr>
          <w:rFonts w:asciiTheme="minorHAnsi" w:eastAsia="Times New Roman" w:hAnsiTheme="minorHAnsi" w:cstheme="minorHAnsi"/>
          <w:color w:val="333333"/>
          <w:sz w:val="22"/>
          <w:szCs w:val="22"/>
        </w:rPr>
      </w:pPr>
      <w:r>
        <w:rPr>
          <w:rFonts w:asciiTheme="minorHAnsi" w:eastAsia="Times New Roman" w:hAnsiTheme="minorHAnsi" w:cstheme="minorHAnsi"/>
          <w:b/>
          <w:noProof/>
          <w:color w:val="333333"/>
          <w:sz w:val="22"/>
          <w:szCs w:val="22"/>
          <w:u w:val="single"/>
        </w:rPr>
        <w:drawing>
          <wp:anchor distT="0" distB="0" distL="114300" distR="114300" simplePos="0" relativeHeight="251658240" behindDoc="0" locked="0" layoutInCell="1" allowOverlap="1" wp14:anchorId="303D4E6D" wp14:editId="4B7EBBEC">
            <wp:simplePos x="0" y="0"/>
            <wp:positionH relativeFrom="column">
              <wp:posOffset>0</wp:posOffset>
            </wp:positionH>
            <wp:positionV relativeFrom="paragraph">
              <wp:posOffset>21590</wp:posOffset>
            </wp:positionV>
            <wp:extent cx="2066925" cy="1853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1853105"/>
                    </a:xfrm>
                    <a:prstGeom prst="rect">
                      <a:avLst/>
                    </a:prstGeom>
                    <a:noFill/>
                    <a:ln>
                      <a:noFill/>
                    </a:ln>
                  </pic:spPr>
                </pic:pic>
              </a:graphicData>
            </a:graphic>
          </wp:anchor>
        </w:drawing>
      </w:r>
      <w:r w:rsidR="00EE6299" w:rsidRPr="006A67EE">
        <w:rPr>
          <w:rFonts w:asciiTheme="minorHAnsi" w:eastAsia="Times New Roman" w:hAnsiTheme="minorHAnsi" w:cstheme="minorHAnsi"/>
          <w:color w:val="333333"/>
          <w:sz w:val="22"/>
          <w:szCs w:val="22"/>
        </w:rPr>
        <w:t xml:space="preserve">The previous article “Urinary Uncertainty: </w:t>
      </w:r>
      <w:proofErr w:type="spellStart"/>
      <w:r w:rsidR="00EE6299" w:rsidRPr="006A67EE">
        <w:rPr>
          <w:rFonts w:asciiTheme="minorHAnsi" w:eastAsia="Times New Roman" w:hAnsiTheme="minorHAnsi" w:cstheme="minorHAnsi"/>
          <w:color w:val="333333"/>
          <w:sz w:val="22"/>
          <w:szCs w:val="22"/>
        </w:rPr>
        <w:t>Desmystifying</w:t>
      </w:r>
      <w:proofErr w:type="spellEnd"/>
      <w:r w:rsidR="00EE6299" w:rsidRPr="006A67EE">
        <w:rPr>
          <w:rFonts w:asciiTheme="minorHAnsi" w:eastAsia="Times New Roman" w:hAnsiTheme="minorHAnsi" w:cstheme="minorHAnsi"/>
          <w:color w:val="333333"/>
          <w:sz w:val="22"/>
          <w:szCs w:val="22"/>
        </w:rPr>
        <w:t xml:space="preserve"> Culture Collection in Urinary Tract Infections (UTI)” discussed the antimicrobial stewardship principles of diagnostic testing for UTIs. As a follow-up in the series focusing on UTIs, this article will discuss antimicrobial stewardship principles of treatment and de-escalation which include a follow-up assessment of the continued need for antibiotic therapy, recommendations for antibiotic therapy choices, balancing treatment efficacy and severity of illness, and using the results of cultures and diagnostic tests to de-escalate to the lowest risk, most effective regimen for the patient.</w:t>
      </w:r>
      <w:r w:rsidR="00EE6299" w:rsidRPr="006A67EE">
        <w:rPr>
          <w:rFonts w:asciiTheme="minorHAnsi" w:eastAsia="Times New Roman" w:hAnsiTheme="minorHAnsi" w:cstheme="minorHAnsi"/>
          <w:color w:val="333333"/>
          <w:sz w:val="22"/>
          <w:szCs w:val="22"/>
          <w:vertAlign w:val="superscript"/>
        </w:rPr>
        <w:t>1</w:t>
      </w:r>
    </w:p>
    <w:p w14:paraId="02E6E552" w14:textId="77777777" w:rsidR="00EE6299" w:rsidRPr="006A67EE" w:rsidRDefault="00EE6299" w:rsidP="00EE6299">
      <w:pPr>
        <w:spacing w:line="360" w:lineRule="auto"/>
        <w:rPr>
          <w:rFonts w:asciiTheme="minorHAnsi" w:eastAsia="Times New Roman" w:hAnsiTheme="minorHAnsi" w:cstheme="minorHAnsi"/>
          <w:color w:val="333333"/>
          <w:sz w:val="22"/>
          <w:szCs w:val="22"/>
        </w:rPr>
      </w:pPr>
    </w:p>
    <w:p w14:paraId="6EF81CE1" w14:textId="77777777" w:rsidR="00EE6299" w:rsidRPr="005A6EEA" w:rsidRDefault="00EE6299" w:rsidP="00EE6299">
      <w:pPr>
        <w:spacing w:line="360" w:lineRule="auto"/>
        <w:rPr>
          <w:rFonts w:asciiTheme="minorHAnsi" w:eastAsia="Times New Roman" w:hAnsiTheme="minorHAnsi" w:cstheme="minorHAnsi"/>
          <w:b/>
          <w:i/>
          <w:iCs/>
          <w:color w:val="333333"/>
          <w:sz w:val="22"/>
          <w:szCs w:val="22"/>
          <w:u w:val="single"/>
        </w:rPr>
      </w:pPr>
      <w:r w:rsidRPr="005A6EEA">
        <w:rPr>
          <w:rFonts w:asciiTheme="minorHAnsi" w:eastAsia="Times New Roman" w:hAnsiTheme="minorHAnsi" w:cstheme="minorHAnsi"/>
          <w:b/>
          <w:i/>
          <w:iCs/>
          <w:color w:val="333333"/>
          <w:sz w:val="22"/>
          <w:szCs w:val="22"/>
          <w:u w:val="single"/>
        </w:rPr>
        <w:t>Asymptomatic Bacteriuria (ASB):</w:t>
      </w:r>
    </w:p>
    <w:p w14:paraId="3F78D662" w14:textId="77777777" w:rsidR="00EE6299" w:rsidRPr="006A67EE" w:rsidRDefault="00EE6299" w:rsidP="00EE6299">
      <w:pPr>
        <w:spacing w:line="360" w:lineRule="auto"/>
        <w:rPr>
          <w:rFonts w:asciiTheme="minorHAnsi" w:eastAsia="Times New Roman" w:hAnsiTheme="minorHAnsi" w:cstheme="minorHAnsi"/>
          <w:color w:val="333333"/>
          <w:sz w:val="22"/>
          <w:szCs w:val="22"/>
        </w:rPr>
      </w:pPr>
      <w:r w:rsidRPr="006A67EE">
        <w:rPr>
          <w:rFonts w:asciiTheme="minorHAnsi" w:eastAsia="Times New Roman" w:hAnsiTheme="minorHAnsi" w:cstheme="minorHAnsi"/>
          <w:color w:val="333333"/>
          <w:sz w:val="22"/>
          <w:szCs w:val="22"/>
        </w:rPr>
        <w:t>Updated practice guidelines from 2019 define ASB as the “presence of 1 or more species of bacteria growing in the urine at specified quantitative counts (</w:t>
      </w:r>
      <w:r w:rsidRPr="006A67EE">
        <w:rPr>
          <w:rFonts w:asciiTheme="minorHAnsi" w:eastAsia="Times New Roman" w:hAnsiTheme="minorHAnsi" w:cstheme="minorHAnsi"/>
          <w:color w:val="333333"/>
          <w:sz w:val="22"/>
          <w:szCs w:val="22"/>
          <w:u w:val="single"/>
        </w:rPr>
        <w:t>&gt;</w:t>
      </w:r>
      <w:r w:rsidRPr="006A67EE">
        <w:rPr>
          <w:rFonts w:asciiTheme="minorHAnsi" w:eastAsia="Times New Roman" w:hAnsiTheme="minorHAnsi" w:cstheme="minorHAnsi"/>
          <w:color w:val="333333"/>
          <w:sz w:val="22"/>
          <w:szCs w:val="22"/>
        </w:rPr>
        <w:t xml:space="preserve"> 10</w:t>
      </w:r>
      <w:r w:rsidRPr="006A67EE">
        <w:rPr>
          <w:rFonts w:asciiTheme="minorHAnsi" w:eastAsia="Times New Roman" w:hAnsiTheme="minorHAnsi" w:cstheme="minorHAnsi"/>
          <w:color w:val="333333"/>
          <w:sz w:val="22"/>
          <w:szCs w:val="22"/>
          <w:vertAlign w:val="superscript"/>
        </w:rPr>
        <w:t>5</w:t>
      </w:r>
      <w:r w:rsidRPr="006A67EE">
        <w:rPr>
          <w:rFonts w:asciiTheme="minorHAnsi" w:eastAsia="Times New Roman" w:hAnsiTheme="minorHAnsi" w:cstheme="minorHAnsi"/>
          <w:color w:val="333333"/>
          <w:sz w:val="22"/>
          <w:szCs w:val="22"/>
        </w:rPr>
        <w:t xml:space="preserve"> CFU/mL), irrespective of the presence of pyuria, in the absence of signs or symptoms attributable to urinary tract infection (UTI).” It is a common finding particularly in elderly persons in long term care facilities, where it can occur in up to 50% of residents, and persons with long term indwelling catheters (100%).</w:t>
      </w:r>
      <w:r w:rsidRPr="006A67EE">
        <w:rPr>
          <w:rFonts w:asciiTheme="minorHAnsi" w:eastAsia="Times New Roman" w:hAnsiTheme="minorHAnsi" w:cstheme="minorHAnsi"/>
          <w:color w:val="333333"/>
          <w:sz w:val="22"/>
          <w:szCs w:val="22"/>
          <w:vertAlign w:val="superscript"/>
        </w:rPr>
        <w:t>2</w:t>
      </w:r>
    </w:p>
    <w:p w14:paraId="19C534B6" w14:textId="77777777" w:rsidR="00184B6C" w:rsidRPr="006A67EE" w:rsidRDefault="00184B6C" w:rsidP="00EE6299">
      <w:pPr>
        <w:spacing w:line="360" w:lineRule="auto"/>
        <w:rPr>
          <w:rFonts w:asciiTheme="minorHAnsi" w:eastAsia="Times New Roman" w:hAnsiTheme="minorHAnsi" w:cstheme="minorHAnsi"/>
          <w:color w:val="333333"/>
          <w:sz w:val="22"/>
          <w:szCs w:val="22"/>
        </w:rPr>
      </w:pPr>
    </w:p>
    <w:p w14:paraId="3D83EC0E" w14:textId="77777777" w:rsidR="00EE6299" w:rsidRPr="006A67EE" w:rsidRDefault="00EE6299" w:rsidP="00EE6299">
      <w:pPr>
        <w:spacing w:line="360" w:lineRule="auto"/>
        <w:rPr>
          <w:rFonts w:asciiTheme="minorHAnsi" w:eastAsia="Times New Roman" w:hAnsiTheme="minorHAnsi" w:cstheme="minorHAnsi"/>
          <w:color w:val="333333"/>
          <w:sz w:val="22"/>
          <w:szCs w:val="22"/>
          <w:vertAlign w:val="superscript"/>
        </w:rPr>
      </w:pPr>
      <w:r w:rsidRPr="006A67EE">
        <w:rPr>
          <w:rFonts w:asciiTheme="minorHAnsi" w:eastAsia="Times New Roman" w:hAnsiTheme="minorHAnsi" w:cstheme="minorHAnsi"/>
          <w:color w:val="333333"/>
          <w:sz w:val="22"/>
          <w:szCs w:val="22"/>
        </w:rPr>
        <w:t>ASB guidelines direct that ASB should NOT be screened for and should NOT be treated in the majority of patients. The two exceptions for which screening and treatment for ASB are indicated are 1) pregnant women and 2) patients undergoing endoscopic urologic procedures associated with mucosal trauma.2 It is recommended that pregnant women receive 4-7 days of antibiotic treatment, using the shortest effective course depending on the antibiotic selected (see A2SC guidelines for guidance on possible agents).</w:t>
      </w:r>
      <w:r w:rsidRPr="006A67EE">
        <w:rPr>
          <w:rFonts w:asciiTheme="minorHAnsi" w:eastAsia="Times New Roman" w:hAnsiTheme="minorHAnsi" w:cstheme="minorHAnsi"/>
          <w:color w:val="333333"/>
          <w:sz w:val="22"/>
          <w:szCs w:val="22"/>
          <w:vertAlign w:val="superscript"/>
        </w:rPr>
        <w:t>2</w:t>
      </w:r>
      <w:r w:rsidRPr="006A67EE">
        <w:rPr>
          <w:rFonts w:asciiTheme="minorHAnsi" w:eastAsia="Times New Roman" w:hAnsiTheme="minorHAnsi" w:cstheme="minorHAnsi"/>
          <w:color w:val="333333"/>
          <w:sz w:val="22"/>
          <w:szCs w:val="22"/>
        </w:rPr>
        <w:t xml:space="preserve"> Patients undergoing urologic procedures should receive a short course (1 or 2 doses) initiated 30-60 minutes prior to the procedure. Selection of an antibiotic in this case would be directed therapy based on pre- procedure screening urine culture and susceptibility results.</w:t>
      </w:r>
      <w:r w:rsidRPr="006A67EE">
        <w:rPr>
          <w:rFonts w:asciiTheme="minorHAnsi" w:eastAsia="Times New Roman" w:hAnsiTheme="minorHAnsi" w:cstheme="minorHAnsi"/>
          <w:color w:val="333333"/>
          <w:sz w:val="22"/>
          <w:szCs w:val="22"/>
          <w:vertAlign w:val="superscript"/>
        </w:rPr>
        <w:t>2</w:t>
      </w:r>
    </w:p>
    <w:p w14:paraId="0903A8EF" w14:textId="77777777" w:rsidR="00EE6299" w:rsidRPr="006A67EE" w:rsidRDefault="00EE6299" w:rsidP="00EE6299">
      <w:pPr>
        <w:spacing w:line="360" w:lineRule="auto"/>
        <w:rPr>
          <w:rFonts w:asciiTheme="minorHAnsi" w:eastAsia="Times New Roman" w:hAnsiTheme="minorHAnsi" w:cstheme="minorHAnsi"/>
          <w:color w:val="333333"/>
          <w:sz w:val="22"/>
          <w:szCs w:val="22"/>
        </w:rPr>
      </w:pPr>
    </w:p>
    <w:p w14:paraId="6C74961D" w14:textId="77777777" w:rsidR="00EE6299" w:rsidRPr="006A67EE" w:rsidRDefault="00EE6299" w:rsidP="00EE6299">
      <w:pPr>
        <w:spacing w:line="360" w:lineRule="auto"/>
        <w:rPr>
          <w:rFonts w:asciiTheme="minorHAnsi" w:eastAsia="Times New Roman" w:hAnsiTheme="minorHAnsi" w:cstheme="minorHAnsi"/>
          <w:color w:val="333333"/>
          <w:sz w:val="22"/>
          <w:szCs w:val="22"/>
          <w:vertAlign w:val="superscript"/>
        </w:rPr>
      </w:pPr>
      <w:r w:rsidRPr="006A67EE">
        <w:rPr>
          <w:rFonts w:asciiTheme="minorHAnsi" w:eastAsia="Times New Roman" w:hAnsiTheme="minorHAnsi" w:cstheme="minorHAnsi"/>
          <w:color w:val="333333"/>
          <w:sz w:val="22"/>
          <w:szCs w:val="22"/>
        </w:rPr>
        <w:t xml:space="preserve">Inappropriate treatment of ASB with antibiotics has been a significant driver of antibiotic resistance in addition to placing patients at risk for adverse events such as </w:t>
      </w:r>
      <w:proofErr w:type="spellStart"/>
      <w:r w:rsidRPr="006A67EE">
        <w:rPr>
          <w:rFonts w:asciiTheme="minorHAnsi" w:eastAsia="Times New Roman" w:hAnsiTheme="minorHAnsi" w:cstheme="minorHAnsi"/>
          <w:i/>
          <w:color w:val="333333"/>
          <w:sz w:val="22"/>
          <w:szCs w:val="22"/>
        </w:rPr>
        <w:t>Clostridioides</w:t>
      </w:r>
      <w:proofErr w:type="spellEnd"/>
      <w:r w:rsidRPr="006A67EE">
        <w:rPr>
          <w:rFonts w:asciiTheme="minorHAnsi" w:eastAsia="Times New Roman" w:hAnsiTheme="minorHAnsi" w:cstheme="minorHAnsi"/>
          <w:i/>
          <w:color w:val="333333"/>
          <w:sz w:val="22"/>
          <w:szCs w:val="22"/>
        </w:rPr>
        <w:t xml:space="preserve"> difficile</w:t>
      </w:r>
      <w:r w:rsidRPr="006A67EE">
        <w:rPr>
          <w:rFonts w:asciiTheme="minorHAnsi" w:eastAsia="Times New Roman" w:hAnsiTheme="minorHAnsi" w:cstheme="minorHAnsi"/>
          <w:color w:val="333333"/>
          <w:sz w:val="22"/>
          <w:szCs w:val="22"/>
        </w:rPr>
        <w:t xml:space="preserve"> infection and adverse drug effects.</w:t>
      </w:r>
      <w:r w:rsidR="00184B6C" w:rsidRPr="006A67EE">
        <w:rPr>
          <w:rFonts w:asciiTheme="minorHAnsi" w:eastAsia="Times New Roman" w:hAnsiTheme="minorHAnsi" w:cstheme="minorHAnsi"/>
          <w:color w:val="333333"/>
          <w:sz w:val="22"/>
          <w:szCs w:val="22"/>
          <w:vertAlign w:val="superscript"/>
        </w:rPr>
        <w:t>2</w:t>
      </w:r>
      <w:r w:rsidRPr="006A67EE">
        <w:rPr>
          <w:rFonts w:asciiTheme="minorHAnsi" w:eastAsia="Times New Roman" w:hAnsiTheme="minorHAnsi" w:cstheme="minorHAnsi"/>
          <w:color w:val="333333"/>
          <w:sz w:val="22"/>
          <w:szCs w:val="22"/>
        </w:rPr>
        <w:t xml:space="preserve"> When presented with results from a urinalysis and urine culture, the clinician must take into context the original indication for performing the test. If no localizing symptoms </w:t>
      </w:r>
      <w:r w:rsidRPr="006A67EE">
        <w:rPr>
          <w:rFonts w:asciiTheme="minorHAnsi" w:eastAsia="Times New Roman" w:hAnsiTheme="minorHAnsi" w:cstheme="minorHAnsi"/>
          <w:color w:val="333333"/>
          <w:sz w:val="22"/>
          <w:szCs w:val="22"/>
        </w:rPr>
        <w:lastRenderedPageBreak/>
        <w:t>referable to the urinary tract were present, presence of bacteria in urine culture would not indicate infection but asymptomatic bacteriuria and should be labeled as such rather than as infection. Bacteriuria and delirium are commonly found together in older adults and causal relationships can be erroneously made. Delirium, falls or confusion by themselves, without localizing genitourinary symptoms, are not symptoms associated with UTIs. Mental status changes and ASB is not an indication for antibiotic treatment. However, if patients have signs and/or symptoms of systemic infection antibiotic therapy would be warranted.</w:t>
      </w:r>
      <w:r w:rsidRPr="006A67EE">
        <w:rPr>
          <w:rFonts w:asciiTheme="minorHAnsi" w:eastAsia="Times New Roman" w:hAnsiTheme="minorHAnsi" w:cstheme="minorHAnsi"/>
          <w:color w:val="333333"/>
          <w:sz w:val="22"/>
          <w:szCs w:val="22"/>
          <w:vertAlign w:val="superscript"/>
        </w:rPr>
        <w:t>2</w:t>
      </w:r>
    </w:p>
    <w:p w14:paraId="4FAFC6B4" w14:textId="77777777" w:rsidR="00841AD1" w:rsidRPr="006A67EE" w:rsidRDefault="00841AD1" w:rsidP="00EE6299">
      <w:pPr>
        <w:spacing w:line="360" w:lineRule="auto"/>
        <w:rPr>
          <w:rFonts w:asciiTheme="minorHAnsi" w:eastAsia="Times New Roman" w:hAnsiTheme="minorHAnsi" w:cstheme="minorHAnsi"/>
          <w:color w:val="333333"/>
          <w:sz w:val="22"/>
          <w:szCs w:val="22"/>
        </w:rPr>
      </w:pPr>
    </w:p>
    <w:p w14:paraId="2566BE16" w14:textId="77777777" w:rsidR="00EE6299" w:rsidRPr="005A6EEA" w:rsidRDefault="00EE6299" w:rsidP="00EE6299">
      <w:pPr>
        <w:spacing w:line="360" w:lineRule="auto"/>
        <w:rPr>
          <w:rFonts w:asciiTheme="minorHAnsi" w:eastAsia="Times New Roman" w:hAnsiTheme="minorHAnsi" w:cstheme="minorHAnsi"/>
          <w:b/>
          <w:i/>
          <w:iCs/>
          <w:color w:val="333333"/>
          <w:sz w:val="22"/>
          <w:szCs w:val="22"/>
          <w:u w:val="single"/>
        </w:rPr>
      </w:pPr>
      <w:r w:rsidRPr="005A6EEA">
        <w:rPr>
          <w:rFonts w:asciiTheme="minorHAnsi" w:eastAsia="Times New Roman" w:hAnsiTheme="minorHAnsi" w:cstheme="minorHAnsi"/>
          <w:b/>
          <w:i/>
          <w:iCs/>
          <w:color w:val="333333"/>
          <w:sz w:val="22"/>
          <w:szCs w:val="22"/>
          <w:u w:val="single"/>
        </w:rPr>
        <w:t>Acute Cystitis and Pyelonephritis</w:t>
      </w:r>
    </w:p>
    <w:p w14:paraId="71970B89" w14:textId="77777777" w:rsidR="00EE6299" w:rsidRPr="006A67EE" w:rsidRDefault="00EE6299" w:rsidP="00EE6299">
      <w:pPr>
        <w:spacing w:line="360" w:lineRule="auto"/>
        <w:rPr>
          <w:rFonts w:asciiTheme="minorHAnsi" w:eastAsia="Times New Roman" w:hAnsiTheme="minorHAnsi" w:cstheme="minorHAnsi"/>
          <w:color w:val="333333"/>
          <w:sz w:val="22"/>
          <w:szCs w:val="22"/>
          <w:vertAlign w:val="superscript"/>
        </w:rPr>
      </w:pPr>
      <w:r w:rsidRPr="006A67EE">
        <w:rPr>
          <w:rFonts w:asciiTheme="minorHAnsi" w:eastAsia="Times New Roman" w:hAnsiTheme="minorHAnsi" w:cstheme="minorHAnsi"/>
          <w:color w:val="333333"/>
          <w:sz w:val="22"/>
          <w:szCs w:val="22"/>
        </w:rPr>
        <w:t>Urine cultures are not typically required in the outpatient care setting for uncomplicated acute cystitis in women without risk factors for resistant pathogens. In those cases, empiric treatment options recommended by the A2SC guidelines include nitrofurantoin (100mg twice daily for 5 days) or cephalexin (500mg twice daily for 7 days).</w:t>
      </w:r>
      <w:r w:rsidRPr="006A67EE">
        <w:rPr>
          <w:rFonts w:asciiTheme="minorHAnsi" w:eastAsia="Times New Roman" w:hAnsiTheme="minorHAnsi" w:cstheme="minorHAnsi"/>
          <w:color w:val="333333"/>
          <w:sz w:val="22"/>
          <w:szCs w:val="22"/>
          <w:vertAlign w:val="superscript"/>
        </w:rPr>
        <w:t>3</w:t>
      </w:r>
      <w:r w:rsidRPr="006A67EE">
        <w:rPr>
          <w:rFonts w:asciiTheme="minorHAnsi" w:eastAsia="Times New Roman" w:hAnsiTheme="minorHAnsi" w:cstheme="minorHAnsi"/>
          <w:color w:val="333333"/>
          <w:sz w:val="22"/>
          <w:szCs w:val="22"/>
        </w:rPr>
        <w:t xml:space="preserve"> </w:t>
      </w:r>
      <w:r w:rsidR="00841AD1" w:rsidRPr="006A67EE">
        <w:rPr>
          <w:rFonts w:asciiTheme="minorHAnsi" w:eastAsia="Times New Roman" w:hAnsiTheme="minorHAnsi" w:cstheme="minorHAnsi"/>
          <w:color w:val="333333"/>
          <w:sz w:val="22"/>
          <w:szCs w:val="22"/>
        </w:rPr>
        <w:t xml:space="preserve"> </w:t>
      </w:r>
      <w:r w:rsidRPr="006A67EE">
        <w:rPr>
          <w:rFonts w:asciiTheme="minorHAnsi" w:eastAsia="Times New Roman" w:hAnsiTheme="minorHAnsi" w:cstheme="minorHAnsi"/>
          <w:color w:val="333333"/>
          <w:sz w:val="22"/>
          <w:szCs w:val="22"/>
        </w:rPr>
        <w:t xml:space="preserve">Bactrim, endorsed by the IDSA for uncomplicated cystitis, is generally not recommended as an empiric choice in the State of Alaska at this time due to </w:t>
      </w:r>
      <w:r w:rsidRPr="006A67EE">
        <w:rPr>
          <w:rFonts w:asciiTheme="minorHAnsi" w:eastAsia="Times New Roman" w:hAnsiTheme="minorHAnsi" w:cstheme="minorHAnsi"/>
          <w:i/>
          <w:color w:val="333333"/>
          <w:sz w:val="22"/>
          <w:szCs w:val="22"/>
        </w:rPr>
        <w:t>E coli</w:t>
      </w:r>
      <w:r w:rsidRPr="006A67EE">
        <w:rPr>
          <w:rFonts w:asciiTheme="minorHAnsi" w:eastAsia="Times New Roman" w:hAnsiTheme="minorHAnsi" w:cstheme="minorHAnsi"/>
          <w:color w:val="333333"/>
          <w:sz w:val="22"/>
          <w:szCs w:val="22"/>
        </w:rPr>
        <w:t xml:space="preserve"> resistance rates exceeding 20%</w:t>
      </w:r>
      <w:r w:rsidRPr="006A67EE">
        <w:rPr>
          <w:rFonts w:asciiTheme="minorHAnsi" w:eastAsia="Times New Roman" w:hAnsiTheme="minorHAnsi" w:cstheme="minorHAnsi"/>
          <w:color w:val="333333"/>
          <w:sz w:val="22"/>
          <w:szCs w:val="22"/>
          <w:vertAlign w:val="superscript"/>
        </w:rPr>
        <w:t>4</w:t>
      </w:r>
      <w:r w:rsidRPr="006A67EE">
        <w:rPr>
          <w:rFonts w:asciiTheme="minorHAnsi" w:eastAsia="Times New Roman" w:hAnsiTheme="minorHAnsi" w:cstheme="minorHAnsi"/>
          <w:color w:val="333333"/>
          <w:sz w:val="22"/>
          <w:szCs w:val="22"/>
        </w:rPr>
        <w:t>; however, this would be an appropriate choice if susceptibilities to Bactrim were known or local susceptibilities varied from</w:t>
      </w:r>
      <w:r w:rsidR="00841AD1" w:rsidRPr="006A67EE">
        <w:rPr>
          <w:rFonts w:asciiTheme="minorHAnsi" w:eastAsia="Times New Roman" w:hAnsiTheme="minorHAnsi" w:cstheme="minorHAnsi"/>
          <w:color w:val="333333"/>
          <w:sz w:val="22"/>
          <w:szCs w:val="22"/>
        </w:rPr>
        <w:t xml:space="preserve"> </w:t>
      </w:r>
      <w:r w:rsidRPr="006A67EE">
        <w:rPr>
          <w:rFonts w:asciiTheme="minorHAnsi" w:eastAsia="Times New Roman" w:hAnsiTheme="minorHAnsi" w:cstheme="minorHAnsi"/>
          <w:color w:val="333333"/>
          <w:sz w:val="22"/>
          <w:szCs w:val="22"/>
        </w:rPr>
        <w:t xml:space="preserve">those outlined by the State of Alaska antibiogram. The cost and availability for </w:t>
      </w:r>
      <w:proofErr w:type="spellStart"/>
      <w:r w:rsidRPr="006A67EE">
        <w:rPr>
          <w:rFonts w:asciiTheme="minorHAnsi" w:eastAsia="Times New Roman" w:hAnsiTheme="minorHAnsi" w:cstheme="minorHAnsi"/>
          <w:color w:val="333333"/>
          <w:sz w:val="22"/>
          <w:szCs w:val="22"/>
        </w:rPr>
        <w:t>fosfomycin</w:t>
      </w:r>
      <w:proofErr w:type="spellEnd"/>
      <w:r w:rsidRPr="006A67EE">
        <w:rPr>
          <w:rFonts w:asciiTheme="minorHAnsi" w:eastAsia="Times New Roman" w:hAnsiTheme="minorHAnsi" w:cstheme="minorHAnsi"/>
          <w:color w:val="333333"/>
          <w:sz w:val="22"/>
          <w:szCs w:val="22"/>
        </w:rPr>
        <w:t xml:space="preserve"> somewhat limit </w:t>
      </w:r>
      <w:proofErr w:type="spellStart"/>
      <w:r w:rsidRPr="006A67EE">
        <w:rPr>
          <w:rFonts w:asciiTheme="minorHAnsi" w:eastAsia="Times New Roman" w:hAnsiTheme="minorHAnsi" w:cstheme="minorHAnsi"/>
          <w:color w:val="333333"/>
          <w:sz w:val="22"/>
          <w:szCs w:val="22"/>
        </w:rPr>
        <w:t>it’s</w:t>
      </w:r>
      <w:proofErr w:type="spellEnd"/>
      <w:r w:rsidRPr="006A67EE">
        <w:rPr>
          <w:rFonts w:asciiTheme="minorHAnsi" w:eastAsia="Times New Roman" w:hAnsiTheme="minorHAnsi" w:cstheme="minorHAnsi"/>
          <w:color w:val="333333"/>
          <w:sz w:val="22"/>
          <w:szCs w:val="22"/>
        </w:rPr>
        <w:t xml:space="preserve"> use, but it is also endorsed by IDSA guidelines and remains an option for cystitis when available. </w:t>
      </w:r>
      <w:r w:rsidR="00841AD1" w:rsidRPr="006A67EE">
        <w:rPr>
          <w:rFonts w:asciiTheme="minorHAnsi" w:eastAsia="Times New Roman" w:hAnsiTheme="minorHAnsi" w:cstheme="minorHAnsi"/>
          <w:color w:val="333333"/>
          <w:sz w:val="22"/>
          <w:szCs w:val="22"/>
        </w:rPr>
        <w:t xml:space="preserve"> </w:t>
      </w:r>
      <w:r w:rsidRPr="006A67EE">
        <w:rPr>
          <w:rFonts w:asciiTheme="minorHAnsi" w:eastAsia="Times New Roman" w:hAnsiTheme="minorHAnsi" w:cstheme="minorHAnsi"/>
          <w:color w:val="333333"/>
          <w:sz w:val="22"/>
          <w:szCs w:val="22"/>
        </w:rPr>
        <w:t>Fluoroquinolones are effective in 3 day regimens but are not preferred for uncomplicated cystitis and should only be used if the first line options are not appropriate. Fluoroquinolones have a high propensity for collateral damage (selection of drug resistant organisms) and their adverse effects limit their use in uncomplicated cystitis.</w:t>
      </w:r>
      <w:r w:rsidRPr="006A67EE">
        <w:rPr>
          <w:rFonts w:asciiTheme="minorHAnsi" w:eastAsia="Times New Roman" w:hAnsiTheme="minorHAnsi" w:cstheme="minorHAnsi"/>
          <w:color w:val="333333"/>
          <w:sz w:val="22"/>
          <w:szCs w:val="22"/>
          <w:vertAlign w:val="superscript"/>
        </w:rPr>
        <w:t>3</w:t>
      </w:r>
    </w:p>
    <w:p w14:paraId="4AA273CA" w14:textId="77777777" w:rsidR="00841AD1" w:rsidRPr="006A67EE" w:rsidRDefault="00841AD1" w:rsidP="00EE6299">
      <w:pPr>
        <w:spacing w:line="360" w:lineRule="auto"/>
        <w:rPr>
          <w:rFonts w:asciiTheme="minorHAnsi" w:eastAsia="Times New Roman" w:hAnsiTheme="minorHAnsi" w:cstheme="minorHAnsi"/>
          <w:color w:val="333333"/>
          <w:sz w:val="22"/>
          <w:szCs w:val="22"/>
        </w:rPr>
      </w:pPr>
    </w:p>
    <w:p w14:paraId="5540F14F" w14:textId="77777777" w:rsidR="00EE6299" w:rsidRPr="006A67EE" w:rsidRDefault="00EE6299" w:rsidP="00EE6299">
      <w:pPr>
        <w:spacing w:line="360" w:lineRule="auto"/>
        <w:rPr>
          <w:rFonts w:asciiTheme="minorHAnsi" w:eastAsia="Times New Roman" w:hAnsiTheme="minorHAnsi" w:cstheme="minorHAnsi"/>
          <w:color w:val="333333"/>
          <w:sz w:val="22"/>
          <w:szCs w:val="22"/>
        </w:rPr>
      </w:pPr>
      <w:r w:rsidRPr="006A67EE">
        <w:rPr>
          <w:rFonts w:asciiTheme="minorHAnsi" w:eastAsia="Times New Roman" w:hAnsiTheme="minorHAnsi" w:cstheme="minorHAnsi"/>
          <w:color w:val="333333"/>
          <w:sz w:val="22"/>
          <w:szCs w:val="22"/>
        </w:rPr>
        <w:t xml:space="preserve">For those patients with acute pyelonephritis, ideally cultures should have been obtained prior to the initiation of antibiotic therapy. Empiric treatment can begin with an extended spectrum cephalosporin (such as ceftriaxone 1gm), a fluoroquinolone (if resistance rates of E coli do not exceed 10%), or a consolidated 24-h dose of an aminoglycoside. Other options including extended-spectrum </w:t>
      </w:r>
      <w:proofErr w:type="spellStart"/>
      <w:r w:rsidRPr="006A67EE">
        <w:rPr>
          <w:rFonts w:asciiTheme="minorHAnsi" w:eastAsia="Times New Roman" w:hAnsiTheme="minorHAnsi" w:cstheme="minorHAnsi"/>
          <w:color w:val="333333"/>
          <w:sz w:val="22"/>
          <w:szCs w:val="22"/>
        </w:rPr>
        <w:t>penicillins</w:t>
      </w:r>
      <w:proofErr w:type="spellEnd"/>
      <w:r w:rsidRPr="006A67EE">
        <w:rPr>
          <w:rFonts w:asciiTheme="minorHAnsi" w:eastAsia="Times New Roman" w:hAnsiTheme="minorHAnsi" w:cstheme="minorHAnsi"/>
          <w:color w:val="333333"/>
          <w:sz w:val="22"/>
          <w:szCs w:val="22"/>
        </w:rPr>
        <w:t xml:space="preserve"> or carbapenems may be selected depending on local resistance data. Once cultures and susceptibilities are available, therapy should be reviewed and de- escalated to the most effective, narrowest spectrum, safest regimen taking into consideration patient specific factors (allergies, drug interactions/contraindications, compliance </w:t>
      </w:r>
      <w:proofErr w:type="spellStart"/>
      <w:r w:rsidRPr="006A67EE">
        <w:rPr>
          <w:rFonts w:asciiTheme="minorHAnsi" w:eastAsia="Times New Roman" w:hAnsiTheme="minorHAnsi" w:cstheme="minorHAnsi"/>
          <w:color w:val="333333"/>
          <w:sz w:val="22"/>
          <w:szCs w:val="22"/>
        </w:rPr>
        <w:t>etc</w:t>
      </w:r>
      <w:proofErr w:type="spellEnd"/>
      <w:r w:rsidRPr="006A67EE">
        <w:rPr>
          <w:rFonts w:asciiTheme="minorHAnsi" w:eastAsia="Times New Roman" w:hAnsiTheme="minorHAnsi" w:cstheme="minorHAnsi"/>
          <w:color w:val="333333"/>
          <w:sz w:val="22"/>
          <w:szCs w:val="22"/>
        </w:rPr>
        <w:t xml:space="preserve">). Recommended regimens (based on known susceptibilities) include fluoroquinolones (ciprofloxacin 7 days, levofloxacin 5 days), TMP/SMX (10-14 days) and cephalosporins (10-14 days) and switch from IV to PO therapy if this has not already been </w:t>
      </w:r>
      <w:r w:rsidRPr="006A67EE">
        <w:rPr>
          <w:rFonts w:asciiTheme="minorHAnsi" w:eastAsia="Times New Roman" w:hAnsiTheme="minorHAnsi" w:cstheme="minorHAnsi"/>
          <w:color w:val="333333"/>
          <w:sz w:val="22"/>
          <w:szCs w:val="22"/>
        </w:rPr>
        <w:lastRenderedPageBreak/>
        <w:t>initiated.</w:t>
      </w:r>
      <w:r w:rsidRPr="006A67EE">
        <w:rPr>
          <w:rFonts w:asciiTheme="minorHAnsi" w:eastAsia="Times New Roman" w:hAnsiTheme="minorHAnsi" w:cstheme="minorHAnsi"/>
          <w:color w:val="333333"/>
          <w:sz w:val="22"/>
          <w:szCs w:val="22"/>
          <w:vertAlign w:val="superscript"/>
        </w:rPr>
        <w:t>3</w:t>
      </w:r>
      <w:r w:rsidRPr="006A67EE">
        <w:rPr>
          <w:rFonts w:asciiTheme="minorHAnsi" w:eastAsia="Times New Roman" w:hAnsiTheme="minorHAnsi" w:cstheme="minorHAnsi"/>
          <w:color w:val="333333"/>
          <w:sz w:val="22"/>
          <w:szCs w:val="22"/>
        </w:rPr>
        <w:t xml:space="preserve"> Of note, nitrofurantoin and </w:t>
      </w:r>
      <w:proofErr w:type="spellStart"/>
      <w:r w:rsidRPr="006A67EE">
        <w:rPr>
          <w:rFonts w:asciiTheme="minorHAnsi" w:eastAsia="Times New Roman" w:hAnsiTheme="minorHAnsi" w:cstheme="minorHAnsi"/>
          <w:color w:val="333333"/>
          <w:sz w:val="22"/>
          <w:szCs w:val="22"/>
        </w:rPr>
        <w:t>fosfomycin</w:t>
      </w:r>
      <w:proofErr w:type="spellEnd"/>
      <w:r w:rsidRPr="006A67EE">
        <w:rPr>
          <w:rFonts w:asciiTheme="minorHAnsi" w:eastAsia="Times New Roman" w:hAnsiTheme="minorHAnsi" w:cstheme="minorHAnsi"/>
          <w:color w:val="333333"/>
          <w:sz w:val="22"/>
          <w:szCs w:val="22"/>
        </w:rPr>
        <w:t xml:space="preserve"> are not indicated for pyelonephritis or perinephric abscesses and are inappropriate choices as step down therapy for pyelonephritis.</w:t>
      </w:r>
    </w:p>
    <w:p w14:paraId="3776573D" w14:textId="77777777" w:rsidR="00056E4C" w:rsidRPr="006A67EE" w:rsidRDefault="00056E4C" w:rsidP="00EE6299">
      <w:pPr>
        <w:spacing w:line="360" w:lineRule="auto"/>
        <w:rPr>
          <w:rFonts w:asciiTheme="minorHAnsi" w:eastAsia="Times New Roman" w:hAnsiTheme="minorHAnsi" w:cstheme="minorHAnsi"/>
          <w:color w:val="333333"/>
          <w:sz w:val="22"/>
          <w:szCs w:val="22"/>
        </w:rPr>
      </w:pPr>
    </w:p>
    <w:p w14:paraId="51FD9C72" w14:textId="77777777" w:rsidR="00056E4C" w:rsidRPr="005A6EEA" w:rsidRDefault="00EE6299" w:rsidP="00EE6299">
      <w:pPr>
        <w:spacing w:line="360" w:lineRule="auto"/>
        <w:rPr>
          <w:rFonts w:asciiTheme="minorHAnsi" w:eastAsia="Times New Roman" w:hAnsiTheme="minorHAnsi" w:cstheme="minorHAnsi"/>
          <w:b/>
          <w:i/>
          <w:iCs/>
          <w:color w:val="333333"/>
          <w:sz w:val="22"/>
          <w:szCs w:val="22"/>
          <w:u w:val="single"/>
        </w:rPr>
      </w:pPr>
      <w:r w:rsidRPr="005A6EEA">
        <w:rPr>
          <w:rFonts w:asciiTheme="minorHAnsi" w:eastAsia="Times New Roman" w:hAnsiTheme="minorHAnsi" w:cstheme="minorHAnsi"/>
          <w:b/>
          <w:i/>
          <w:iCs/>
          <w:color w:val="333333"/>
          <w:sz w:val="22"/>
          <w:szCs w:val="22"/>
          <w:u w:val="single"/>
        </w:rPr>
        <w:t>Complicated UTI</w:t>
      </w:r>
    </w:p>
    <w:p w14:paraId="0967A0BA" w14:textId="77777777" w:rsidR="00EE6299" w:rsidRPr="006A67EE" w:rsidRDefault="00EE6299" w:rsidP="00EE6299">
      <w:pPr>
        <w:spacing w:line="360" w:lineRule="auto"/>
        <w:rPr>
          <w:rFonts w:asciiTheme="minorHAnsi" w:eastAsia="Times New Roman" w:hAnsiTheme="minorHAnsi" w:cstheme="minorHAnsi"/>
          <w:color w:val="333333"/>
          <w:sz w:val="22"/>
          <w:szCs w:val="22"/>
          <w:vertAlign w:val="superscript"/>
        </w:rPr>
      </w:pPr>
      <w:r w:rsidRPr="006A67EE">
        <w:rPr>
          <w:rFonts w:asciiTheme="minorHAnsi" w:eastAsia="Times New Roman" w:hAnsiTheme="minorHAnsi" w:cstheme="minorHAnsi"/>
          <w:color w:val="333333"/>
          <w:sz w:val="22"/>
          <w:szCs w:val="22"/>
        </w:rPr>
        <w:t xml:space="preserve">Complicated UTI encompasses a variety of syndromes including </w:t>
      </w:r>
      <w:proofErr w:type="gramStart"/>
      <w:r w:rsidRPr="006A67EE">
        <w:rPr>
          <w:rFonts w:asciiTheme="minorHAnsi" w:eastAsia="Times New Roman" w:hAnsiTheme="minorHAnsi" w:cstheme="minorHAnsi"/>
          <w:color w:val="333333"/>
          <w:sz w:val="22"/>
          <w:szCs w:val="22"/>
        </w:rPr>
        <w:t>catheter-associated</w:t>
      </w:r>
      <w:proofErr w:type="gramEnd"/>
      <w:r w:rsidRPr="006A67EE">
        <w:rPr>
          <w:rFonts w:asciiTheme="minorHAnsi" w:eastAsia="Times New Roman" w:hAnsiTheme="minorHAnsi" w:cstheme="minorHAnsi"/>
          <w:color w:val="333333"/>
          <w:sz w:val="22"/>
          <w:szCs w:val="22"/>
        </w:rPr>
        <w:t xml:space="preserve"> UTI (CAUTI), UTI in males, UTI in the presence of urologic abnormalities and UTI during pregnancy. In addition to antibiotic therapy, source control measures may need to be undertaken. Empiric therapy should be based on prior culture data if available, how ill the patient appears and whether the symptoms are more suggestive of a lower urinary tract infection (cystitis) versus an upper urinary tract infection (pyelonephritis). Definitive therapy will be dependent on culture and susceptibility results. Shorter courses of therapy (7 days) are reasonable if symptoms promptly resolve and longer courses (10-14 days) if there is a delayed response to therapy. Oral cephalosporins, fluoroquinolone and TMP/SMX can all be used as options for oral step down therapy, factoring in the time on IV therapy when determining total duration. If bacteremia is present, the selection of an agent with high oral bioavailability such as fluoroquinolones and TMP/SMX may be preferred.</w:t>
      </w:r>
      <w:r w:rsidRPr="006A67EE">
        <w:rPr>
          <w:rFonts w:asciiTheme="minorHAnsi" w:eastAsia="Times New Roman" w:hAnsiTheme="minorHAnsi" w:cstheme="minorHAnsi"/>
          <w:color w:val="333333"/>
          <w:sz w:val="22"/>
          <w:szCs w:val="22"/>
          <w:vertAlign w:val="superscript"/>
        </w:rPr>
        <w:t>5,6</w:t>
      </w:r>
    </w:p>
    <w:p w14:paraId="678DB4D8" w14:textId="77777777" w:rsidR="00056E4C" w:rsidRPr="006A67EE" w:rsidRDefault="00056E4C" w:rsidP="00EE6299">
      <w:pPr>
        <w:spacing w:line="360" w:lineRule="auto"/>
        <w:rPr>
          <w:rFonts w:asciiTheme="minorHAnsi" w:eastAsia="Times New Roman" w:hAnsiTheme="minorHAnsi" w:cstheme="minorHAnsi"/>
          <w:color w:val="333333"/>
          <w:sz w:val="22"/>
          <w:szCs w:val="22"/>
        </w:rPr>
      </w:pPr>
    </w:p>
    <w:p w14:paraId="425FA1ED" w14:textId="77777777" w:rsidR="00EE6299" w:rsidRPr="006A67EE" w:rsidRDefault="00EE6299" w:rsidP="00EE6299">
      <w:pPr>
        <w:spacing w:line="360" w:lineRule="auto"/>
        <w:rPr>
          <w:rFonts w:asciiTheme="minorHAnsi" w:eastAsia="Times New Roman" w:hAnsiTheme="minorHAnsi" w:cstheme="minorHAnsi"/>
          <w:color w:val="333333"/>
          <w:sz w:val="22"/>
          <w:szCs w:val="22"/>
        </w:rPr>
      </w:pPr>
      <w:r w:rsidRPr="006A67EE">
        <w:rPr>
          <w:rFonts w:asciiTheme="minorHAnsi" w:eastAsia="Times New Roman" w:hAnsiTheme="minorHAnsi" w:cstheme="minorHAnsi"/>
          <w:color w:val="333333"/>
          <w:sz w:val="22"/>
          <w:szCs w:val="22"/>
        </w:rPr>
        <w:t>For more information on the diagnosis, testing, and treatment of urinary tract infections, please refer to the Alaska Antimicrobial Stewardship Collaborative’s statewide UTI guidelines.</w:t>
      </w:r>
    </w:p>
    <w:p w14:paraId="69D3EAAB" w14:textId="77777777" w:rsidR="00056E4C" w:rsidRDefault="00056E4C" w:rsidP="00EE6299">
      <w:pPr>
        <w:spacing w:line="360" w:lineRule="auto"/>
        <w:rPr>
          <w:rFonts w:ascii="HelveticaNeue" w:eastAsia="Times New Roman" w:hAnsi="HelveticaNeue"/>
          <w:color w:val="333333"/>
        </w:rPr>
      </w:pPr>
    </w:p>
    <w:p w14:paraId="01DE9FB4" w14:textId="77777777" w:rsidR="00EE6299" w:rsidRPr="00056E4C" w:rsidRDefault="00EE6299" w:rsidP="00EE6299">
      <w:pPr>
        <w:spacing w:line="360" w:lineRule="auto"/>
        <w:rPr>
          <w:rFonts w:ascii="HelveticaNeue" w:eastAsia="Times New Roman" w:hAnsi="HelveticaNeue"/>
          <w:color w:val="333333"/>
          <w:sz w:val="20"/>
          <w:szCs w:val="20"/>
        </w:rPr>
      </w:pPr>
      <w:r w:rsidRPr="00056E4C">
        <w:rPr>
          <w:rFonts w:ascii="HelveticaNeue" w:eastAsia="Times New Roman" w:hAnsi="HelveticaNeue"/>
          <w:color w:val="333333"/>
          <w:sz w:val="20"/>
          <w:szCs w:val="20"/>
        </w:rPr>
        <w:t xml:space="preserve">1. Antibiotic Stewardship Statement for Antibiotic Guidelines - Recommendations of the Healthcare Infection Control Practices Advisory Committee. </w:t>
      </w:r>
      <w:hyperlink r:id="rId5" w:history="1">
        <w:r w:rsidRPr="00056E4C">
          <w:rPr>
            <w:rStyle w:val="Hyperlink"/>
            <w:rFonts w:ascii="HelveticaNeue" w:eastAsia="Times New Roman" w:hAnsi="HelveticaNeue"/>
            <w:sz w:val="20"/>
            <w:szCs w:val="20"/>
          </w:rPr>
          <w:t>www.cdc.gov/hicpac/</w:t>
        </w:r>
      </w:hyperlink>
      <w:r w:rsidRPr="00056E4C">
        <w:rPr>
          <w:rFonts w:ascii="HelveticaNeue" w:eastAsia="Times New Roman" w:hAnsi="HelveticaNeue"/>
          <w:color w:val="333333"/>
          <w:sz w:val="20"/>
          <w:szCs w:val="20"/>
        </w:rPr>
        <w:t xml:space="preserve"> recommendations/antibiotic-stewardship.html accessed 9/23/19.</w:t>
      </w:r>
    </w:p>
    <w:p w14:paraId="54A1805A" w14:textId="77777777" w:rsidR="00EE6299" w:rsidRPr="00056E4C" w:rsidRDefault="00EE6299" w:rsidP="00EE6299">
      <w:pPr>
        <w:spacing w:line="360" w:lineRule="auto"/>
        <w:rPr>
          <w:rFonts w:ascii="HelveticaNeue" w:eastAsia="Times New Roman" w:hAnsi="HelveticaNeue"/>
          <w:color w:val="333333"/>
          <w:sz w:val="20"/>
          <w:szCs w:val="20"/>
        </w:rPr>
      </w:pPr>
      <w:r w:rsidRPr="00056E4C">
        <w:rPr>
          <w:rFonts w:ascii="HelveticaNeue" w:eastAsia="Times New Roman" w:hAnsi="HelveticaNeue"/>
          <w:color w:val="333333"/>
          <w:sz w:val="20"/>
          <w:szCs w:val="20"/>
        </w:rPr>
        <w:t>2. Nicolle LE, Gupta K, Bradley S, et al. Clinical Practice Guideline for the Management of Asymptomatic Bacteriuria: 2019 Update by the Infectious Diseases Society of America. CID 2019;68(10):e83–e110,</w:t>
      </w:r>
    </w:p>
    <w:p w14:paraId="52C5CCDF" w14:textId="77777777" w:rsidR="00EE6299" w:rsidRPr="00056E4C" w:rsidRDefault="00EE6299" w:rsidP="00EE6299">
      <w:pPr>
        <w:spacing w:line="360" w:lineRule="auto"/>
        <w:rPr>
          <w:rFonts w:ascii="HelveticaNeue" w:eastAsia="Times New Roman" w:hAnsi="HelveticaNeue"/>
          <w:color w:val="333333"/>
          <w:sz w:val="20"/>
          <w:szCs w:val="20"/>
        </w:rPr>
      </w:pPr>
      <w:r w:rsidRPr="00056E4C">
        <w:rPr>
          <w:rFonts w:ascii="HelveticaNeue" w:eastAsia="Times New Roman" w:hAnsi="HelveticaNeue"/>
          <w:color w:val="333333"/>
          <w:sz w:val="20"/>
          <w:szCs w:val="20"/>
        </w:rPr>
        <w:t xml:space="preserve">3. Gupta K, Hooton TM, </w:t>
      </w:r>
      <w:proofErr w:type="spellStart"/>
      <w:r w:rsidRPr="00056E4C">
        <w:rPr>
          <w:rFonts w:ascii="HelveticaNeue" w:eastAsia="Times New Roman" w:hAnsi="HelveticaNeue"/>
          <w:color w:val="333333"/>
          <w:sz w:val="20"/>
          <w:szCs w:val="20"/>
        </w:rPr>
        <w:t>Naber</w:t>
      </w:r>
      <w:proofErr w:type="spellEnd"/>
      <w:r w:rsidRPr="00056E4C">
        <w:rPr>
          <w:rFonts w:ascii="HelveticaNeue" w:eastAsia="Times New Roman" w:hAnsi="HelveticaNeue"/>
          <w:color w:val="333333"/>
          <w:sz w:val="20"/>
          <w:szCs w:val="20"/>
        </w:rPr>
        <w:t xml:space="preserve"> KG, et al. International Clinical Practice Guidelines for the Treatment of Acute Uncomplicated Cystitis and Pyelonephritis in Women: A 2010 Update by the Infectious Disease Society of America and the European Society for Microbiology and Infectious Diseases. CID 2011;52(5):e103-e120.</w:t>
      </w:r>
    </w:p>
    <w:p w14:paraId="09515F22" w14:textId="77777777" w:rsidR="00EE6299" w:rsidRPr="00056E4C" w:rsidRDefault="00EE6299" w:rsidP="00EE6299">
      <w:pPr>
        <w:spacing w:line="360" w:lineRule="auto"/>
        <w:rPr>
          <w:rFonts w:ascii="HelveticaNeue" w:eastAsia="Times New Roman" w:hAnsi="HelveticaNeue"/>
          <w:color w:val="333333"/>
          <w:sz w:val="20"/>
          <w:szCs w:val="20"/>
        </w:rPr>
      </w:pPr>
      <w:r w:rsidRPr="00056E4C">
        <w:rPr>
          <w:rFonts w:ascii="HelveticaNeue" w:eastAsia="Times New Roman" w:hAnsi="HelveticaNeue"/>
          <w:color w:val="333333"/>
          <w:sz w:val="20"/>
          <w:szCs w:val="20"/>
        </w:rPr>
        <w:t xml:space="preserve">4. Alaska Antibiogram 2018. Available at </w:t>
      </w:r>
      <w:hyperlink r:id="rId6" w:history="1">
        <w:r w:rsidRPr="00056E4C">
          <w:rPr>
            <w:rStyle w:val="Hyperlink"/>
            <w:rFonts w:ascii="HelveticaNeue" w:eastAsia="Times New Roman" w:hAnsi="HelveticaNeue"/>
            <w:sz w:val="20"/>
            <w:szCs w:val="20"/>
          </w:rPr>
          <w:t>www.ashnha.com/wp-content/uploads/2019/09/</w:t>
        </w:r>
      </w:hyperlink>
      <w:r w:rsidRPr="00056E4C">
        <w:rPr>
          <w:rFonts w:ascii="HelveticaNeue" w:eastAsia="Times New Roman" w:hAnsi="HelveticaNeue"/>
          <w:color w:val="333333"/>
          <w:sz w:val="20"/>
          <w:szCs w:val="20"/>
        </w:rPr>
        <w:t xml:space="preserve"> AK-2018-Antibiograms.pdf. Access 10/1/19</w:t>
      </w:r>
    </w:p>
    <w:p w14:paraId="11BB3FD8" w14:textId="77777777" w:rsidR="00EE6299" w:rsidRPr="00056E4C" w:rsidRDefault="00EE6299" w:rsidP="00EE6299">
      <w:pPr>
        <w:spacing w:line="360" w:lineRule="auto"/>
        <w:rPr>
          <w:rFonts w:ascii="HelveticaNeue" w:eastAsia="Times New Roman" w:hAnsi="HelveticaNeue"/>
          <w:color w:val="333333"/>
          <w:sz w:val="20"/>
          <w:szCs w:val="20"/>
        </w:rPr>
      </w:pPr>
      <w:r w:rsidRPr="00056E4C">
        <w:rPr>
          <w:rFonts w:ascii="HelveticaNeue" w:eastAsia="Times New Roman" w:hAnsi="HelveticaNeue"/>
          <w:color w:val="333333"/>
          <w:sz w:val="20"/>
          <w:szCs w:val="20"/>
        </w:rPr>
        <w:t> 5. Hooton TM, Bradley SF, Cardenas DD, et al. Diagnosis, prevention, and treatment of catheter-associated urinary tract infection in adults: 2009 international clinical practice guidelines from the Infectious Diseases Society of America. CID 2010;50:625-663.</w:t>
      </w:r>
    </w:p>
    <w:p w14:paraId="58413B31" w14:textId="6DECF6F6" w:rsidR="008425AA" w:rsidRPr="005A6EEA" w:rsidRDefault="00EE6299" w:rsidP="005A6EEA">
      <w:pPr>
        <w:spacing w:line="360" w:lineRule="auto"/>
        <w:rPr>
          <w:rFonts w:ascii="HelveticaNeue" w:eastAsia="Times New Roman" w:hAnsi="HelveticaNeue"/>
          <w:color w:val="333333"/>
          <w:sz w:val="20"/>
          <w:szCs w:val="20"/>
        </w:rPr>
      </w:pPr>
      <w:r w:rsidRPr="00056E4C">
        <w:rPr>
          <w:rFonts w:ascii="HelveticaNeue" w:eastAsia="Times New Roman" w:hAnsi="HelveticaNeue"/>
          <w:color w:val="333333"/>
          <w:sz w:val="20"/>
          <w:szCs w:val="20"/>
        </w:rPr>
        <w:t xml:space="preserve">6. AHRQ Safety Program for Improving Antibiotic Use. </w:t>
      </w:r>
      <w:r w:rsidR="006A67EE">
        <w:rPr>
          <w:rFonts w:ascii="HelveticaNeue" w:eastAsia="Times New Roman" w:hAnsi="HelveticaNeue"/>
          <w:color w:val="333333"/>
          <w:sz w:val="20"/>
          <w:szCs w:val="20"/>
        </w:rPr>
        <w:t>Asymptomatic Bacteriuria and Uri</w:t>
      </w:r>
      <w:r w:rsidR="0093399E">
        <w:rPr>
          <w:rFonts w:ascii="HelveticaNeue" w:eastAsia="Times New Roman" w:hAnsi="HelveticaNeue"/>
          <w:color w:val="333333"/>
          <w:sz w:val="20"/>
          <w:szCs w:val="20"/>
        </w:rPr>
        <w:t xml:space="preserve">nary Tract Infections 3/3/18.  </w:t>
      </w:r>
    </w:p>
    <w:sectPr w:rsidR="008425AA" w:rsidRPr="005A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99"/>
    <w:rsid w:val="00056E4C"/>
    <w:rsid w:val="00184B6C"/>
    <w:rsid w:val="00336F72"/>
    <w:rsid w:val="005076E1"/>
    <w:rsid w:val="005A6EEA"/>
    <w:rsid w:val="006A67EE"/>
    <w:rsid w:val="00841AD1"/>
    <w:rsid w:val="008425AA"/>
    <w:rsid w:val="0093399E"/>
    <w:rsid w:val="009E37F7"/>
    <w:rsid w:val="00E635F8"/>
    <w:rsid w:val="00EE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B3F9"/>
  <w15:chartTrackingRefBased/>
  <w15:docId w15:val="{779C4B79-F562-4285-AFBF-CAD0B15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nha.com/wp-content/uploads/2019/09/" TargetMode="External"/><Relationship Id="rId5" Type="http://schemas.openxmlformats.org/officeDocument/2006/relationships/hyperlink" Target="http://www.cdc.gov/hicpa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Foundation Health Partners</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Megan</dc:creator>
  <cp:keywords/>
  <dc:description/>
  <cp:lastModifiedBy>Jeannie Monk</cp:lastModifiedBy>
  <cp:revision>2</cp:revision>
  <dcterms:created xsi:type="dcterms:W3CDTF">2019-12-27T18:23:00Z</dcterms:created>
  <dcterms:modified xsi:type="dcterms:W3CDTF">2019-12-27T18:23:00Z</dcterms:modified>
</cp:coreProperties>
</file>